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70B" w:rsidRPr="009717C5" w:rsidRDefault="00675320" w:rsidP="00CF270B">
      <w:pPr>
        <w:ind w:left="-567"/>
        <w:jc w:val="center"/>
        <w:rPr>
          <w:rFonts w:ascii="Open Sans" w:hAnsi="Open Sans" w:cs="Open Sans"/>
          <w:b/>
        </w:rPr>
      </w:pPr>
      <w:r w:rsidRPr="009717C5">
        <w:rPr>
          <w:rFonts w:ascii="Open Sans" w:hAnsi="Open Sans" w:cs="Open Sans"/>
          <w:b/>
        </w:rPr>
        <w:t>N</w:t>
      </w:r>
      <w:r w:rsidR="00124B49" w:rsidRPr="009717C5">
        <w:rPr>
          <w:rFonts w:ascii="Open Sans" w:hAnsi="Open Sans" w:cs="Open Sans"/>
          <w:b/>
        </w:rPr>
        <w:t>iñas y adolescentes víctimas</w:t>
      </w:r>
      <w:r w:rsidRPr="009717C5">
        <w:rPr>
          <w:rFonts w:ascii="Open Sans" w:hAnsi="Open Sans" w:cs="Open Sans"/>
          <w:b/>
        </w:rPr>
        <w:t xml:space="preserve"> del conflicto armado </w:t>
      </w:r>
      <w:r w:rsidR="00124B49" w:rsidRPr="009717C5">
        <w:rPr>
          <w:rFonts w:ascii="Open Sans" w:hAnsi="Open Sans" w:cs="Open Sans"/>
          <w:b/>
        </w:rPr>
        <w:t>en Bogotá</w:t>
      </w:r>
      <w:r w:rsidRPr="009717C5">
        <w:rPr>
          <w:rFonts w:ascii="Open Sans" w:hAnsi="Open Sans" w:cs="Open Sans"/>
          <w:b/>
        </w:rPr>
        <w:t xml:space="preserve"> – Resumen Ejecutivo</w:t>
      </w:r>
    </w:p>
    <w:p w:rsidR="009F05BA" w:rsidRPr="0092575E" w:rsidRDefault="009717C5" w:rsidP="009F05BA">
      <w:pPr>
        <w:pStyle w:val="Prrafodelista"/>
        <w:numPr>
          <w:ilvl w:val="0"/>
          <w:numId w:val="4"/>
        </w:numPr>
        <w:rPr>
          <w:rFonts w:ascii="Open Sans" w:hAnsi="Open Sans" w:cs="Open Sans"/>
          <w:b/>
          <w:i/>
          <w:u w:val="single"/>
        </w:rPr>
      </w:pPr>
      <w:r w:rsidRPr="0092575E">
        <w:rPr>
          <w:rFonts w:ascii="Open Sans" w:hAnsi="Open Sans" w:cs="Open Sans"/>
          <w:b/>
          <w:i/>
          <w:u w:val="single"/>
        </w:rPr>
        <w:t xml:space="preserve"> </w:t>
      </w:r>
      <w:r w:rsidR="00CF270B" w:rsidRPr="0092575E">
        <w:rPr>
          <w:rFonts w:ascii="Open Sans" w:hAnsi="Open Sans" w:cs="Open Sans"/>
          <w:b/>
          <w:i/>
          <w:u w:val="single"/>
        </w:rPr>
        <w:t>El 14,8% de las víctimas residentes en Bogotá son niñas y adolescentes</w:t>
      </w:r>
    </w:p>
    <w:p w:rsidR="00CF270B" w:rsidRPr="00CF270B" w:rsidRDefault="00CF270B" w:rsidP="00CF270B">
      <w:pPr>
        <w:pStyle w:val="Prrafodelista"/>
        <w:ind w:left="862"/>
        <w:rPr>
          <w:rFonts w:ascii="Open Sans" w:hAnsi="Open Sans" w:cs="Open Sans"/>
          <w:b/>
          <w:i/>
          <w:sz w:val="20"/>
          <w:u w:val="single"/>
        </w:rPr>
      </w:pPr>
    </w:p>
    <w:p w:rsidR="00CF270B" w:rsidRPr="009717C5" w:rsidRDefault="00BB3C3E" w:rsidP="009717C5">
      <w:pPr>
        <w:pStyle w:val="Prrafodelista"/>
        <w:numPr>
          <w:ilvl w:val="0"/>
          <w:numId w:val="1"/>
        </w:numPr>
        <w:ind w:left="284"/>
        <w:jc w:val="both"/>
        <w:rPr>
          <w:rFonts w:ascii="Open Sans" w:hAnsi="Open Sans" w:cs="Open Sans"/>
          <w:sz w:val="20"/>
          <w:szCs w:val="20"/>
        </w:rPr>
      </w:pPr>
      <w:r w:rsidRPr="00B971E8">
        <w:rPr>
          <w:rFonts w:ascii="Open Sans" w:hAnsi="Open Sans" w:cs="Open Sans"/>
          <w:b/>
          <w:sz w:val="20"/>
          <w:szCs w:val="20"/>
          <w:lang w:val="es-ES_tradnl" w:eastAsia="zh-CN"/>
        </w:rPr>
        <w:t>51.962 víctimas</w:t>
      </w:r>
      <w:r w:rsidR="009717C5">
        <w:rPr>
          <w:rFonts w:ascii="Open Sans" w:hAnsi="Open Sans" w:cs="Open Sans"/>
          <w:b/>
          <w:sz w:val="20"/>
          <w:szCs w:val="20"/>
          <w:lang w:val="es-ES_tradnl" w:eastAsia="zh-CN"/>
        </w:rPr>
        <w:t xml:space="preserve"> </w:t>
      </w:r>
      <w:r w:rsidR="0092575E">
        <w:rPr>
          <w:rFonts w:ascii="Open Sans" w:hAnsi="Open Sans" w:cs="Open Sans"/>
          <w:b/>
          <w:sz w:val="20"/>
          <w:szCs w:val="20"/>
          <w:lang w:val="es-ES_tradnl" w:eastAsia="zh-CN"/>
        </w:rPr>
        <w:t xml:space="preserve">del conflicto armado </w:t>
      </w:r>
      <w:r w:rsidR="002767A4">
        <w:rPr>
          <w:rFonts w:ascii="Open Sans" w:hAnsi="Open Sans" w:cs="Open Sans"/>
          <w:b/>
          <w:sz w:val="20"/>
          <w:szCs w:val="20"/>
          <w:lang w:val="es-ES_tradnl" w:eastAsia="zh-CN"/>
        </w:rPr>
        <w:t xml:space="preserve">que </w:t>
      </w:r>
      <w:r w:rsidR="0092575E">
        <w:rPr>
          <w:rFonts w:ascii="Open Sans" w:hAnsi="Open Sans" w:cs="Open Sans"/>
          <w:b/>
          <w:sz w:val="20"/>
          <w:szCs w:val="20"/>
          <w:lang w:val="es-ES_tradnl" w:eastAsia="zh-CN"/>
        </w:rPr>
        <w:t>residen</w:t>
      </w:r>
      <w:r w:rsidR="009717C5">
        <w:rPr>
          <w:rFonts w:ascii="Open Sans" w:hAnsi="Open Sans" w:cs="Open Sans"/>
          <w:b/>
          <w:sz w:val="20"/>
          <w:szCs w:val="20"/>
          <w:lang w:val="es-ES_tradnl" w:eastAsia="zh-CN"/>
        </w:rPr>
        <w:t xml:space="preserve"> en Bogotá</w:t>
      </w:r>
      <w:r w:rsidR="00B971E8">
        <w:rPr>
          <w:rFonts w:ascii="Open Sans" w:hAnsi="Open Sans" w:cs="Open Sans"/>
          <w:b/>
          <w:sz w:val="20"/>
          <w:szCs w:val="20"/>
          <w:lang w:val="es-ES_tradnl" w:eastAsia="zh-CN"/>
        </w:rPr>
        <w:t xml:space="preserve"> son</w:t>
      </w:r>
      <w:r w:rsidR="00B971E8">
        <w:rPr>
          <w:rFonts w:ascii="Open Sans" w:hAnsi="Open Sans" w:cs="Open Sans"/>
          <w:sz w:val="20"/>
          <w:szCs w:val="20"/>
          <w:lang w:val="es-ES_tradnl" w:eastAsia="zh-CN"/>
        </w:rPr>
        <w:t xml:space="preserve"> </w:t>
      </w:r>
      <w:r w:rsidR="00B971E8" w:rsidRPr="00CF270B">
        <w:rPr>
          <w:rFonts w:ascii="Open Sans" w:hAnsi="Open Sans" w:cs="Open Sans"/>
          <w:b/>
          <w:sz w:val="20"/>
          <w:szCs w:val="20"/>
          <w:lang w:val="es-ES_tradnl" w:eastAsia="zh-CN"/>
        </w:rPr>
        <w:t>niñas y adolescentes</w:t>
      </w:r>
      <w:r w:rsidRPr="00B971E8">
        <w:rPr>
          <w:rFonts w:ascii="Open Sans" w:hAnsi="Open Sans" w:cs="Open Sans"/>
          <w:sz w:val="20"/>
          <w:szCs w:val="20"/>
          <w:lang w:val="es-ES_tradnl" w:eastAsia="zh-CN"/>
        </w:rPr>
        <w:t xml:space="preserve"> </w:t>
      </w:r>
      <w:r w:rsidR="002767A4">
        <w:rPr>
          <w:rFonts w:ascii="Open Sans" w:hAnsi="Open Sans" w:cs="Open Sans"/>
          <w:sz w:val="20"/>
          <w:szCs w:val="20"/>
          <w:lang w:val="es-ES_tradnl" w:eastAsia="zh-CN"/>
        </w:rPr>
        <w:t xml:space="preserve">de 0 a 17 año, </w:t>
      </w:r>
      <w:r w:rsidR="009220C4" w:rsidRPr="00B971E8">
        <w:rPr>
          <w:rFonts w:ascii="Open Sans" w:hAnsi="Open Sans" w:cs="Open Sans"/>
          <w:sz w:val="20"/>
          <w:szCs w:val="20"/>
          <w:lang w:val="es-ES_tradnl" w:eastAsia="zh-CN"/>
        </w:rPr>
        <w:t>según el RUV (Registro Único de Víctimas, Red Nacional de Información - RNI, UARIV, a 1 de abril de 2018)</w:t>
      </w:r>
      <w:r w:rsidR="00CF270B">
        <w:rPr>
          <w:rStyle w:val="Refdenotaalpie"/>
          <w:rFonts w:ascii="Open Sans" w:hAnsi="Open Sans" w:cs="Open Sans"/>
          <w:sz w:val="20"/>
          <w:szCs w:val="20"/>
          <w:lang w:val="es-ES_tradnl" w:eastAsia="zh-CN"/>
        </w:rPr>
        <w:footnoteReference w:id="1"/>
      </w:r>
      <w:r w:rsidRPr="00B971E8">
        <w:rPr>
          <w:rFonts w:ascii="Open Sans" w:hAnsi="Open Sans" w:cs="Open Sans"/>
          <w:sz w:val="20"/>
          <w:szCs w:val="20"/>
          <w:lang w:val="es-ES_tradnl" w:eastAsia="zh-CN"/>
        </w:rPr>
        <w:t xml:space="preserve">. </w:t>
      </w:r>
      <w:r w:rsidR="009717C5">
        <w:rPr>
          <w:rFonts w:ascii="Open Sans" w:hAnsi="Open Sans" w:cs="Open Sans"/>
          <w:sz w:val="20"/>
          <w:szCs w:val="20"/>
          <w:lang w:val="es-ES_tradnl" w:eastAsia="zh-CN"/>
        </w:rPr>
        <w:t>Esta magnitud e</w:t>
      </w:r>
      <w:r w:rsidR="00CF270B" w:rsidRPr="009717C5">
        <w:rPr>
          <w:rFonts w:ascii="Open Sans" w:hAnsi="Open Sans" w:cs="Open Sans"/>
          <w:sz w:val="20"/>
          <w:szCs w:val="20"/>
          <w:lang w:val="es-ES_tradnl" w:eastAsia="zh-CN"/>
        </w:rPr>
        <w:t xml:space="preserve">quivale a: </w:t>
      </w:r>
    </w:p>
    <w:p w:rsidR="00CF270B" w:rsidRDefault="00CF270B" w:rsidP="00CF270B">
      <w:pPr>
        <w:pStyle w:val="Prrafodelista"/>
        <w:numPr>
          <w:ilvl w:val="0"/>
          <w:numId w:val="2"/>
        </w:numPr>
        <w:jc w:val="both"/>
        <w:rPr>
          <w:rFonts w:ascii="Open Sans" w:hAnsi="Open Sans" w:cs="Open Sans"/>
          <w:sz w:val="20"/>
          <w:szCs w:val="20"/>
        </w:rPr>
      </w:pPr>
      <w:r w:rsidRPr="00CF270B">
        <w:rPr>
          <w:rFonts w:ascii="Open Sans" w:hAnsi="Open Sans" w:cs="Open Sans"/>
          <w:sz w:val="20"/>
          <w:szCs w:val="20"/>
        </w:rPr>
        <w:t xml:space="preserve">El 14,8% de las </w:t>
      </w:r>
      <w:r w:rsidRPr="00CF270B">
        <w:t xml:space="preserve">351.336 </w:t>
      </w:r>
      <w:r>
        <w:t xml:space="preserve">víctimas </w:t>
      </w:r>
      <w:r w:rsidRPr="00CF270B">
        <w:rPr>
          <w:rFonts w:ascii="Open Sans" w:hAnsi="Open Sans" w:cs="Open Sans"/>
          <w:sz w:val="20"/>
          <w:szCs w:val="20"/>
        </w:rPr>
        <w:t xml:space="preserve">residentes en Bogotá. </w:t>
      </w:r>
    </w:p>
    <w:p w:rsidR="00CF270B" w:rsidRPr="002767A4" w:rsidRDefault="00CF270B" w:rsidP="00CF270B">
      <w:pPr>
        <w:pStyle w:val="Prrafodelista"/>
        <w:numPr>
          <w:ilvl w:val="0"/>
          <w:numId w:val="2"/>
        </w:numPr>
        <w:jc w:val="both"/>
        <w:rPr>
          <w:rFonts w:ascii="Open Sans" w:hAnsi="Open Sans" w:cs="Open Sans"/>
          <w:sz w:val="20"/>
          <w:szCs w:val="20"/>
        </w:rPr>
      </w:pPr>
      <w:r w:rsidRPr="00CF270B">
        <w:rPr>
          <w:rFonts w:ascii="Open Sans" w:hAnsi="Open Sans" w:cs="Open Sans"/>
          <w:sz w:val="20"/>
          <w:szCs w:val="20"/>
          <w:lang w:val="es-ES_tradnl" w:eastAsia="zh-CN"/>
        </w:rPr>
        <w:t xml:space="preserve">El </w:t>
      </w:r>
      <w:r>
        <w:rPr>
          <w:rFonts w:ascii="Open Sans" w:hAnsi="Open Sans" w:cs="Open Sans"/>
          <w:sz w:val="20"/>
          <w:szCs w:val="20"/>
          <w:lang w:val="es-ES_tradnl" w:eastAsia="zh-CN"/>
        </w:rPr>
        <w:t xml:space="preserve">48,5% de </w:t>
      </w:r>
      <w:r w:rsidRPr="00B971E8">
        <w:rPr>
          <w:rFonts w:ascii="Open Sans" w:hAnsi="Open Sans" w:cs="Open Sans"/>
          <w:sz w:val="20"/>
          <w:szCs w:val="20"/>
          <w:lang w:val="es-ES_tradnl" w:eastAsia="zh-CN"/>
        </w:rPr>
        <w:t>107.106 niños, niñas y adolescentes víctimas</w:t>
      </w:r>
      <w:r w:rsidR="009717C5">
        <w:rPr>
          <w:rFonts w:ascii="Open Sans" w:hAnsi="Open Sans" w:cs="Open Sans"/>
          <w:sz w:val="20"/>
          <w:szCs w:val="20"/>
          <w:lang w:val="es-ES_tradnl" w:eastAsia="zh-CN"/>
        </w:rPr>
        <w:t xml:space="preserve"> residentes en Bogotá. </w:t>
      </w:r>
    </w:p>
    <w:p w:rsidR="002767A4" w:rsidRPr="00CF270B" w:rsidRDefault="002767A4" w:rsidP="002767A4">
      <w:pPr>
        <w:pStyle w:val="Prrafodelista"/>
        <w:numPr>
          <w:ilvl w:val="0"/>
          <w:numId w:val="2"/>
        </w:num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  <w:lang w:val="es-ES_tradnl" w:eastAsia="zh-CN"/>
        </w:rPr>
        <w:t xml:space="preserve">El 29% de las </w:t>
      </w:r>
      <w:r w:rsidRPr="002767A4">
        <w:rPr>
          <w:rFonts w:ascii="Open Sans" w:hAnsi="Open Sans" w:cs="Open Sans"/>
          <w:sz w:val="20"/>
          <w:szCs w:val="20"/>
          <w:lang w:val="es-ES_tradnl" w:eastAsia="zh-CN"/>
        </w:rPr>
        <w:t>179.028</w:t>
      </w:r>
      <w:r>
        <w:rPr>
          <w:rFonts w:ascii="Open Sans" w:hAnsi="Open Sans" w:cs="Open Sans"/>
          <w:sz w:val="20"/>
          <w:szCs w:val="20"/>
          <w:lang w:val="es-ES_tradnl" w:eastAsia="zh-CN"/>
        </w:rPr>
        <w:t xml:space="preserve"> mujeres víctimas residentes en Bogotá. </w:t>
      </w:r>
    </w:p>
    <w:p w:rsidR="00B971E8" w:rsidRPr="00B971E8" w:rsidRDefault="00B971E8" w:rsidP="00B971E8">
      <w:pPr>
        <w:pStyle w:val="Prrafodelista"/>
        <w:ind w:left="284"/>
        <w:rPr>
          <w:rFonts w:ascii="Open Sans" w:hAnsi="Open Sans" w:cs="Open Sans"/>
          <w:sz w:val="20"/>
          <w:szCs w:val="20"/>
        </w:rPr>
      </w:pPr>
    </w:p>
    <w:p w:rsidR="002767A4" w:rsidRPr="002767A4" w:rsidRDefault="009717C5" w:rsidP="00B971E8">
      <w:pPr>
        <w:pStyle w:val="Prrafodelista"/>
        <w:numPr>
          <w:ilvl w:val="0"/>
          <w:numId w:val="1"/>
        </w:numPr>
        <w:ind w:left="284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  <w:lang w:val="es-ES_tradnl" w:eastAsia="zh-CN"/>
        </w:rPr>
        <w:t>De las 51.962 niñas y adolescentes</w:t>
      </w:r>
      <w:r w:rsidR="009F05BA">
        <w:rPr>
          <w:rFonts w:ascii="Open Sans" w:hAnsi="Open Sans" w:cs="Open Sans"/>
          <w:sz w:val="20"/>
          <w:szCs w:val="20"/>
          <w:lang w:val="es-ES_tradnl" w:eastAsia="zh-CN"/>
        </w:rPr>
        <w:t xml:space="preserve"> víctimas (Tabla 1)</w:t>
      </w:r>
      <w:r>
        <w:rPr>
          <w:rFonts w:ascii="Open Sans" w:hAnsi="Open Sans" w:cs="Open Sans"/>
          <w:sz w:val="20"/>
          <w:szCs w:val="20"/>
          <w:lang w:val="es-ES_tradnl" w:eastAsia="zh-CN"/>
        </w:rPr>
        <w:t xml:space="preserve">: </w:t>
      </w:r>
    </w:p>
    <w:p w:rsidR="002767A4" w:rsidRPr="002767A4" w:rsidRDefault="009220C4" w:rsidP="002767A4">
      <w:pPr>
        <w:pStyle w:val="Prrafodelista"/>
        <w:numPr>
          <w:ilvl w:val="0"/>
          <w:numId w:val="2"/>
        </w:numPr>
        <w:rPr>
          <w:rFonts w:ascii="Open Sans" w:hAnsi="Open Sans" w:cs="Open Sans"/>
          <w:sz w:val="20"/>
          <w:szCs w:val="20"/>
        </w:rPr>
      </w:pPr>
      <w:r w:rsidRPr="00B971E8">
        <w:rPr>
          <w:rFonts w:ascii="Open Sans" w:hAnsi="Open Sans" w:cs="Open Sans"/>
          <w:sz w:val="20"/>
          <w:szCs w:val="20"/>
          <w:lang w:val="es-ES_tradnl" w:eastAsia="zh-CN"/>
        </w:rPr>
        <w:t>9.217 se encuentran en la etapa de la</w:t>
      </w:r>
      <w:r w:rsidR="002767A4">
        <w:rPr>
          <w:rFonts w:ascii="Open Sans" w:hAnsi="Open Sans" w:cs="Open Sans"/>
          <w:sz w:val="20"/>
          <w:szCs w:val="20"/>
          <w:lang w:val="es-ES_tradnl" w:eastAsia="zh-CN"/>
        </w:rPr>
        <w:t xml:space="preserve"> primera infancia (0 a 5 años). </w:t>
      </w:r>
    </w:p>
    <w:p w:rsidR="002767A4" w:rsidRPr="002767A4" w:rsidRDefault="009220C4" w:rsidP="002767A4">
      <w:pPr>
        <w:pStyle w:val="Prrafodelista"/>
        <w:numPr>
          <w:ilvl w:val="0"/>
          <w:numId w:val="2"/>
        </w:numPr>
        <w:rPr>
          <w:rFonts w:ascii="Open Sans" w:hAnsi="Open Sans" w:cs="Open Sans"/>
          <w:sz w:val="20"/>
          <w:szCs w:val="20"/>
        </w:rPr>
      </w:pPr>
      <w:r w:rsidRPr="00B971E8">
        <w:rPr>
          <w:rFonts w:ascii="Open Sans" w:hAnsi="Open Sans" w:cs="Open Sans"/>
          <w:sz w:val="20"/>
          <w:szCs w:val="20"/>
          <w:lang w:val="es-ES_tradnl" w:eastAsia="zh-CN"/>
        </w:rPr>
        <w:t>21.046</w:t>
      </w:r>
      <w:r w:rsidR="00BB3C3E" w:rsidRPr="00B971E8">
        <w:rPr>
          <w:rFonts w:ascii="Open Sans" w:hAnsi="Open Sans" w:cs="Open Sans"/>
          <w:sz w:val="20"/>
          <w:szCs w:val="20"/>
          <w:lang w:val="es-ES_tradnl" w:eastAsia="zh-CN"/>
        </w:rPr>
        <w:t xml:space="preserve"> </w:t>
      </w:r>
      <w:r w:rsidR="002767A4">
        <w:rPr>
          <w:rFonts w:ascii="Open Sans" w:hAnsi="Open Sans" w:cs="Open Sans"/>
          <w:sz w:val="20"/>
          <w:szCs w:val="20"/>
          <w:lang w:val="es-ES_tradnl" w:eastAsia="zh-CN"/>
        </w:rPr>
        <w:t>en la infancia (6 a 11 años).</w:t>
      </w:r>
    </w:p>
    <w:p w:rsidR="0007641F" w:rsidRPr="00B971E8" w:rsidRDefault="009220C4" w:rsidP="002767A4">
      <w:pPr>
        <w:pStyle w:val="Prrafodelista"/>
        <w:numPr>
          <w:ilvl w:val="0"/>
          <w:numId w:val="2"/>
        </w:numPr>
        <w:rPr>
          <w:rFonts w:ascii="Open Sans" w:hAnsi="Open Sans" w:cs="Open Sans"/>
          <w:sz w:val="20"/>
          <w:szCs w:val="20"/>
        </w:rPr>
      </w:pPr>
      <w:r w:rsidRPr="00B971E8">
        <w:rPr>
          <w:rFonts w:ascii="Open Sans" w:hAnsi="Open Sans" w:cs="Open Sans"/>
          <w:sz w:val="20"/>
          <w:szCs w:val="20"/>
          <w:lang w:val="es-ES_tradnl" w:eastAsia="zh-CN"/>
        </w:rPr>
        <w:t>21.699 en la adolescencia (RUV-R</w:t>
      </w:r>
      <w:r w:rsidR="009717C5">
        <w:rPr>
          <w:rFonts w:ascii="Open Sans" w:hAnsi="Open Sans" w:cs="Open Sans"/>
          <w:sz w:val="20"/>
          <w:szCs w:val="20"/>
          <w:lang w:val="es-ES_tradnl" w:eastAsia="zh-CN"/>
        </w:rPr>
        <w:t>NI, UARIV, a 1 de abril de 2018, ver Tabla 1)</w:t>
      </w:r>
      <w:r w:rsidRPr="00B971E8">
        <w:rPr>
          <w:rFonts w:ascii="Open Sans" w:hAnsi="Open Sans" w:cs="Open Sans"/>
          <w:sz w:val="20"/>
          <w:szCs w:val="20"/>
          <w:lang w:val="es-ES_tradnl" w:eastAsia="zh-CN"/>
        </w:rPr>
        <w:t xml:space="preserve">. </w:t>
      </w:r>
    </w:p>
    <w:p w:rsidR="0080706F" w:rsidRDefault="00BB3C3E" w:rsidP="0019491A">
      <w:pPr>
        <w:pStyle w:val="TtuloTabla"/>
        <w:rPr>
          <w:rFonts w:ascii="Open Sans" w:hAnsi="Open Sans" w:cs="Open Sans"/>
          <w:sz w:val="18"/>
        </w:rPr>
      </w:pPr>
      <w:r w:rsidRPr="00B971E8">
        <w:rPr>
          <w:rFonts w:ascii="Open Sans" w:hAnsi="Open Sans" w:cs="Open Sans"/>
          <w:sz w:val="18"/>
        </w:rPr>
        <w:t xml:space="preserve">Tabla 1. </w:t>
      </w:r>
      <w:r w:rsidR="0080706F" w:rsidRPr="00B971E8">
        <w:rPr>
          <w:rFonts w:ascii="Open Sans" w:hAnsi="Open Sans" w:cs="Open Sans"/>
          <w:sz w:val="18"/>
        </w:rPr>
        <w:t>Víctimas residentes en Bogotá, por sexo y grupo etario</w:t>
      </w:r>
    </w:p>
    <w:tbl>
      <w:tblPr>
        <w:tblW w:w="6026" w:type="pct"/>
        <w:tblInd w:w="-9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"/>
        <w:gridCol w:w="1526"/>
        <w:gridCol w:w="849"/>
        <w:gridCol w:w="1845"/>
        <w:gridCol w:w="1560"/>
        <w:gridCol w:w="994"/>
        <w:gridCol w:w="849"/>
        <w:gridCol w:w="851"/>
        <w:gridCol w:w="706"/>
        <w:gridCol w:w="1228"/>
      </w:tblGrid>
      <w:tr w:rsidR="002767A4" w:rsidRPr="0092575E" w:rsidTr="002767A4">
        <w:trPr>
          <w:trHeight w:val="704"/>
        </w:trPr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b/>
                <w:bCs/>
                <w:color w:val="FFFFFF"/>
                <w:sz w:val="16"/>
                <w:szCs w:val="16"/>
                <w:lang w:eastAsia="es-CO"/>
              </w:rPr>
              <w:t>Ciclo vital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b/>
                <w:bCs/>
                <w:color w:val="FFFFFF"/>
                <w:sz w:val="16"/>
                <w:szCs w:val="16"/>
                <w:lang w:eastAsia="es-CO"/>
              </w:rPr>
              <w:t>Mujer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2767A4">
              <w:rPr>
                <w:rFonts w:ascii="Nirmala UI" w:eastAsia="Times New Roman" w:hAnsi="Nirmala UI" w:cs="Nirmala UI"/>
                <w:b/>
                <w:bCs/>
                <w:color w:val="FFFFFF"/>
                <w:sz w:val="16"/>
                <w:szCs w:val="16"/>
                <w:lang w:eastAsia="es-CO"/>
              </w:rPr>
              <w:t>Porcentaje de mujeres de cada grupo de edad dentro del total de víctimas mujeres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b/>
                <w:bCs/>
                <w:color w:val="FFFFFF"/>
                <w:sz w:val="16"/>
                <w:szCs w:val="16"/>
                <w:lang w:eastAsia="es-CO"/>
              </w:rPr>
              <w:t xml:space="preserve">Porcentaje de mujeres dentro del total del </w:t>
            </w:r>
            <w:r>
              <w:rPr>
                <w:rFonts w:ascii="Nirmala UI" w:eastAsia="Times New Roman" w:hAnsi="Nirmala UI" w:cs="Nirmala UI"/>
                <w:b/>
                <w:bCs/>
                <w:color w:val="FFFFFF"/>
                <w:sz w:val="16"/>
                <w:szCs w:val="16"/>
                <w:lang w:eastAsia="es-CO"/>
              </w:rPr>
              <w:t xml:space="preserve">total del </w:t>
            </w:r>
            <w:r w:rsidRPr="0092575E">
              <w:rPr>
                <w:rFonts w:ascii="Nirmala UI" w:eastAsia="Times New Roman" w:hAnsi="Nirmala UI" w:cs="Nirmala UI"/>
                <w:b/>
                <w:bCs/>
                <w:color w:val="FFFFFF"/>
                <w:sz w:val="16"/>
                <w:szCs w:val="16"/>
                <w:lang w:eastAsia="es-CO"/>
              </w:rPr>
              <w:t>grupo de edad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b/>
                <w:bCs/>
                <w:color w:val="FFFFFF"/>
                <w:sz w:val="16"/>
                <w:szCs w:val="16"/>
                <w:lang w:eastAsia="es-CO"/>
              </w:rPr>
              <w:t>Hombre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b/>
                <w:bCs/>
                <w:color w:val="FFFFFF"/>
                <w:sz w:val="16"/>
                <w:szCs w:val="16"/>
                <w:lang w:eastAsia="es-CO"/>
              </w:rPr>
              <w:t xml:space="preserve">LGBTI </w:t>
            </w:r>
            <w:r w:rsidRPr="0092575E">
              <w:rPr>
                <w:rFonts w:ascii="Nirmala UI" w:eastAsia="Times New Roman" w:hAnsi="Nirmala UI" w:cs="Nirmala UI"/>
                <w:b/>
                <w:bCs/>
                <w:color w:val="FFFFFF"/>
                <w:sz w:val="16"/>
                <w:szCs w:val="16"/>
                <w:vertAlign w:val="superscript"/>
                <w:lang w:eastAsia="es-CO"/>
              </w:rPr>
              <w:t>(i)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b/>
                <w:bCs/>
                <w:color w:val="FFFFFF"/>
                <w:sz w:val="16"/>
                <w:szCs w:val="16"/>
                <w:lang w:eastAsia="es-CO"/>
              </w:rPr>
              <w:t>No Informa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b/>
                <w:bCs/>
                <w:color w:val="FFFFFF"/>
                <w:sz w:val="16"/>
                <w:szCs w:val="16"/>
                <w:lang w:eastAsia="es-CO"/>
              </w:rPr>
              <w:t>Total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color w:val="FFFFFF"/>
                <w:sz w:val="16"/>
                <w:szCs w:val="16"/>
                <w:lang w:eastAsia="es-CO"/>
              </w:rPr>
            </w:pPr>
            <w:r>
              <w:rPr>
                <w:rFonts w:ascii="Nirmala UI" w:eastAsia="Times New Roman" w:hAnsi="Nirmala UI" w:cs="Nirmala UI"/>
                <w:b/>
                <w:bCs/>
                <w:color w:val="FFFFFF"/>
                <w:sz w:val="16"/>
                <w:szCs w:val="16"/>
                <w:lang w:eastAsia="es-CO"/>
              </w:rPr>
              <w:t>Porcentaje del grupo etario dentro del total de víctimas residentes</w:t>
            </w:r>
          </w:p>
        </w:tc>
      </w:tr>
      <w:tr w:rsidR="002767A4" w:rsidRPr="0092575E" w:rsidTr="002767A4">
        <w:trPr>
          <w:trHeight w:val="234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767A4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Primera Infancia</w:t>
            </w:r>
          </w:p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(0 - 5 años)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9.217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767A4" w:rsidRPr="002767A4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2767A4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5,15%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48,79%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9.632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43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18.893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7A4" w:rsidRDefault="002767A4" w:rsidP="002767A4">
            <w:pPr>
              <w:jc w:val="center"/>
              <w:rPr>
                <w:rFonts w:ascii="Nirmala UI" w:hAnsi="Nirmala UI" w:cs="Nirmala UI"/>
                <w:color w:val="000000"/>
                <w:sz w:val="16"/>
                <w:szCs w:val="16"/>
              </w:rPr>
            </w:pPr>
            <w:r>
              <w:rPr>
                <w:rFonts w:ascii="Nirmala UI" w:hAnsi="Nirmala UI" w:cs="Nirmala UI"/>
                <w:color w:val="000000"/>
                <w:sz w:val="16"/>
                <w:szCs w:val="16"/>
              </w:rPr>
              <w:t>5,38%</w:t>
            </w:r>
          </w:p>
        </w:tc>
      </w:tr>
      <w:tr w:rsidR="002767A4" w:rsidRPr="0092575E" w:rsidTr="002767A4">
        <w:trPr>
          <w:trHeight w:val="167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767A4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Infancia</w:t>
            </w:r>
          </w:p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(6 - 11 años)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21.046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767A4" w:rsidRPr="002767A4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2767A4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11,76%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48,30%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22.397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111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43.578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7A4" w:rsidRDefault="002767A4" w:rsidP="002767A4">
            <w:pPr>
              <w:jc w:val="center"/>
              <w:rPr>
                <w:rFonts w:ascii="Nirmala UI" w:hAnsi="Nirmala UI" w:cs="Nirmala UI"/>
                <w:color w:val="000000"/>
                <w:sz w:val="16"/>
                <w:szCs w:val="16"/>
              </w:rPr>
            </w:pPr>
            <w:r>
              <w:rPr>
                <w:rFonts w:ascii="Nirmala UI" w:hAnsi="Nirmala UI" w:cs="Nirmala UI"/>
                <w:color w:val="000000"/>
                <w:sz w:val="16"/>
                <w:szCs w:val="16"/>
              </w:rPr>
              <w:t>12,40%</w:t>
            </w:r>
          </w:p>
        </w:tc>
      </w:tr>
      <w:tr w:rsidR="002767A4" w:rsidRPr="0092575E" w:rsidTr="002767A4">
        <w:trPr>
          <w:trHeight w:val="234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767A4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Adolescencia</w:t>
            </w:r>
          </w:p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(12 - 17 años)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21.699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767A4" w:rsidRPr="002767A4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2767A4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12,12%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48,61%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22.823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101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44.635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7A4" w:rsidRDefault="002767A4" w:rsidP="002767A4">
            <w:pPr>
              <w:jc w:val="center"/>
              <w:rPr>
                <w:rFonts w:ascii="Nirmala UI" w:hAnsi="Nirmala UI" w:cs="Nirmala UI"/>
                <w:color w:val="000000"/>
                <w:sz w:val="16"/>
                <w:szCs w:val="16"/>
              </w:rPr>
            </w:pPr>
            <w:r>
              <w:rPr>
                <w:rFonts w:ascii="Nirmala UI" w:hAnsi="Nirmala UI" w:cs="Nirmala UI"/>
                <w:color w:val="000000"/>
                <w:sz w:val="16"/>
                <w:szCs w:val="16"/>
              </w:rPr>
              <w:t>12,70%</w:t>
            </w:r>
          </w:p>
        </w:tc>
      </w:tr>
      <w:tr w:rsidR="002767A4" w:rsidRPr="0092575E" w:rsidTr="002767A4">
        <w:trPr>
          <w:trHeight w:val="234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7A4" w:rsidRDefault="009F05BA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Juventud</w:t>
            </w:r>
          </w:p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(18 –</w:t>
            </w: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 xml:space="preserve"> 28</w:t>
            </w:r>
            <w:r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 xml:space="preserve"> años)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40.413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7A4" w:rsidRPr="002767A4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2767A4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22,57%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51,25%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38.183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229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78.857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7A4" w:rsidRDefault="002767A4" w:rsidP="002767A4">
            <w:pPr>
              <w:jc w:val="center"/>
              <w:rPr>
                <w:rFonts w:ascii="Nirmala UI" w:hAnsi="Nirmala UI" w:cs="Nirmala UI"/>
                <w:color w:val="000000"/>
                <w:sz w:val="16"/>
                <w:szCs w:val="16"/>
              </w:rPr>
            </w:pPr>
            <w:r>
              <w:rPr>
                <w:rFonts w:ascii="Nirmala UI" w:hAnsi="Nirmala UI" w:cs="Nirmala UI"/>
                <w:color w:val="000000"/>
                <w:sz w:val="16"/>
                <w:szCs w:val="16"/>
              </w:rPr>
              <w:t>22,44%</w:t>
            </w:r>
          </w:p>
        </w:tc>
      </w:tr>
      <w:tr w:rsidR="002767A4" w:rsidRPr="0092575E" w:rsidTr="002767A4">
        <w:trPr>
          <w:trHeight w:val="234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7A4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Adultez</w:t>
            </w:r>
          </w:p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(</w:t>
            </w: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 xml:space="preserve">29 </w:t>
            </w:r>
            <w:r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–</w:t>
            </w: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 xml:space="preserve"> 60</w:t>
            </w:r>
            <w:r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 xml:space="preserve"> años)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68.810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7A4" w:rsidRPr="002767A4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2767A4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38,44%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55,25%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54.899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758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124.538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7A4" w:rsidRDefault="002767A4" w:rsidP="002767A4">
            <w:pPr>
              <w:jc w:val="center"/>
              <w:rPr>
                <w:rFonts w:ascii="Nirmala UI" w:hAnsi="Nirmala UI" w:cs="Nirmala UI"/>
                <w:color w:val="000000"/>
                <w:sz w:val="16"/>
                <w:szCs w:val="16"/>
              </w:rPr>
            </w:pPr>
            <w:r>
              <w:rPr>
                <w:rFonts w:ascii="Nirmala UI" w:hAnsi="Nirmala UI" w:cs="Nirmala UI"/>
                <w:color w:val="000000"/>
                <w:sz w:val="16"/>
                <w:szCs w:val="16"/>
              </w:rPr>
              <w:t>35,45%</w:t>
            </w:r>
          </w:p>
        </w:tc>
      </w:tr>
      <w:tr w:rsidR="002767A4" w:rsidRPr="0092575E" w:rsidTr="002767A4">
        <w:trPr>
          <w:trHeight w:val="234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 xml:space="preserve">Adultez mayor </w:t>
            </w: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br/>
            </w:r>
            <w:r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(61 años y más)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11.553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7A4" w:rsidRPr="002767A4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2767A4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6,45%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51,29%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10.812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155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22.524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7A4" w:rsidRDefault="002767A4" w:rsidP="002767A4">
            <w:pPr>
              <w:jc w:val="center"/>
              <w:rPr>
                <w:rFonts w:ascii="Nirmala UI" w:hAnsi="Nirmala UI" w:cs="Nirmala UI"/>
                <w:color w:val="000000"/>
                <w:sz w:val="16"/>
                <w:szCs w:val="16"/>
              </w:rPr>
            </w:pPr>
            <w:r>
              <w:rPr>
                <w:rFonts w:ascii="Nirmala UI" w:hAnsi="Nirmala UI" w:cs="Nirmala UI"/>
                <w:color w:val="000000"/>
                <w:sz w:val="16"/>
                <w:szCs w:val="16"/>
              </w:rPr>
              <w:t>6,41%</w:t>
            </w:r>
          </w:p>
        </w:tc>
      </w:tr>
      <w:tr w:rsidR="002767A4" w:rsidRPr="0092575E" w:rsidTr="002767A4">
        <w:trPr>
          <w:trHeight w:val="234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No</w:t>
            </w: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br/>
              <w:t>disponible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6.290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7A4" w:rsidRPr="002767A4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2767A4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3,51%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34,35%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10.019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2.001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18.311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7A4" w:rsidRDefault="002767A4" w:rsidP="002767A4">
            <w:pPr>
              <w:jc w:val="center"/>
              <w:rPr>
                <w:rFonts w:ascii="Nirmala UI" w:hAnsi="Nirmala UI" w:cs="Nirmala UI"/>
                <w:color w:val="000000"/>
                <w:sz w:val="16"/>
                <w:szCs w:val="16"/>
              </w:rPr>
            </w:pPr>
            <w:r>
              <w:rPr>
                <w:rFonts w:ascii="Nirmala UI" w:hAnsi="Nirmala UI" w:cs="Nirmala UI"/>
                <w:color w:val="000000"/>
                <w:sz w:val="16"/>
                <w:szCs w:val="16"/>
              </w:rPr>
              <w:t>5,21%</w:t>
            </w:r>
          </w:p>
        </w:tc>
      </w:tr>
      <w:tr w:rsidR="002767A4" w:rsidRPr="0092575E" w:rsidTr="002767A4">
        <w:trPr>
          <w:trHeight w:val="167"/>
        </w:trPr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Total general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179.028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7A4" w:rsidRPr="002767A4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2767A4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100,00%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2767A4" w:rsidRDefault="002767A4" w:rsidP="002767A4">
            <w:pPr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2767A4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50,96%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168.765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145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3.398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351.336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100%</w:t>
            </w:r>
          </w:p>
        </w:tc>
      </w:tr>
      <w:tr w:rsidR="002767A4" w:rsidRPr="0092575E" w:rsidTr="002767A4">
        <w:trPr>
          <w:trHeight w:val="17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</w:p>
        </w:tc>
      </w:tr>
      <w:tr w:rsidR="002767A4" w:rsidRPr="0092575E" w:rsidTr="002767A4">
        <w:trPr>
          <w:trHeight w:val="268"/>
        </w:trPr>
        <w:tc>
          <w:tcPr>
            <w:tcW w:w="826" w:type="pct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b/>
                <w:color w:val="000000"/>
                <w:sz w:val="16"/>
                <w:szCs w:val="16"/>
                <w:lang w:eastAsia="es-CO"/>
              </w:rPr>
              <w:t>Total infancia y adolescencia</w:t>
            </w: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 xml:space="preserve"> (1,2 y 3)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b/>
                <w:color w:val="000000"/>
                <w:sz w:val="16"/>
                <w:szCs w:val="16"/>
                <w:lang w:eastAsia="es-CO"/>
              </w:rPr>
              <w:t>51.962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Nirmala UI" w:eastAsia="Times New Roman" w:hAnsi="Nirmala UI" w:cs="Nirmala UI"/>
                <w:b/>
                <w:color w:val="000000"/>
                <w:sz w:val="16"/>
                <w:szCs w:val="16"/>
                <w:lang w:eastAsia="es-CO"/>
              </w:rPr>
              <w:t>29,02%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b/>
                <w:color w:val="000000"/>
                <w:sz w:val="16"/>
                <w:szCs w:val="16"/>
                <w:lang w:eastAsia="es-CO"/>
              </w:rPr>
              <w:t>48,51%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54.852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37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255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107.106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7A4" w:rsidRDefault="002767A4" w:rsidP="002767A4">
            <w:pPr>
              <w:jc w:val="center"/>
              <w:rPr>
                <w:rFonts w:ascii="Nirmala UI" w:hAnsi="Nirmala UI" w:cs="Nirmala UI"/>
                <w:color w:val="000000"/>
                <w:sz w:val="16"/>
                <w:szCs w:val="16"/>
              </w:rPr>
            </w:pPr>
            <w:r>
              <w:rPr>
                <w:rFonts w:ascii="Nirmala UI" w:hAnsi="Nirmala UI" w:cs="Nirmala UI"/>
                <w:color w:val="000000"/>
                <w:sz w:val="16"/>
                <w:szCs w:val="16"/>
              </w:rPr>
              <w:t>30,49%</w:t>
            </w:r>
          </w:p>
        </w:tc>
      </w:tr>
      <w:tr w:rsidR="002767A4" w:rsidRPr="0092575E" w:rsidTr="002767A4">
        <w:trPr>
          <w:trHeight w:val="176"/>
        </w:trPr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%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48,50%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2767A4" w:rsidRPr="002767A4" w:rsidRDefault="002767A4" w:rsidP="002767A4">
            <w:pPr>
              <w:rPr>
                <w:rFonts w:ascii="Nirmala UI" w:hAnsi="Nirmala UI" w:cs="Nirmala UI"/>
                <w:color w:val="000000"/>
                <w:sz w:val="16"/>
                <w:szCs w:val="16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51,20%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0,00%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0,20%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7A4" w:rsidRPr="0092575E" w:rsidRDefault="002767A4" w:rsidP="002767A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</w:pPr>
            <w:r w:rsidRPr="0092575E">
              <w:rPr>
                <w:rFonts w:ascii="Nirmala UI" w:eastAsia="Times New Roman" w:hAnsi="Nirmala UI" w:cs="Nirmala UI"/>
                <w:color w:val="000000"/>
                <w:sz w:val="16"/>
                <w:szCs w:val="16"/>
                <w:lang w:eastAsia="es-CO"/>
              </w:rPr>
              <w:t>100,00%</w:t>
            </w:r>
          </w:p>
        </w:tc>
        <w:tc>
          <w:tcPr>
            <w:tcW w:w="57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2767A4" w:rsidRDefault="002767A4" w:rsidP="002767A4">
            <w:pPr>
              <w:jc w:val="center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</w:tbl>
    <w:p w:rsidR="0080706F" w:rsidRPr="00B971E8" w:rsidRDefault="0080706F" w:rsidP="009717C5">
      <w:pPr>
        <w:pStyle w:val="TtuloTabla"/>
        <w:spacing w:after="0"/>
        <w:ind w:left="720"/>
        <w:rPr>
          <w:rFonts w:ascii="Open Sans" w:hAnsi="Open Sans" w:cs="Open Sans"/>
          <w:b w:val="0"/>
          <w:i/>
          <w:color w:val="3B3838" w:themeColor="background2" w:themeShade="40"/>
          <w:sz w:val="16"/>
        </w:rPr>
      </w:pPr>
      <w:r w:rsidRPr="00B971E8">
        <w:rPr>
          <w:rFonts w:ascii="Open Sans" w:hAnsi="Open Sans" w:cs="Open Sans"/>
          <w:b w:val="0"/>
          <w:i/>
          <w:color w:val="3B3838" w:themeColor="background2" w:themeShade="40"/>
          <w:sz w:val="16"/>
        </w:rPr>
        <w:t>Fuente. RUV, UARIV. Corte a 1 de abril de 2018.</w:t>
      </w:r>
    </w:p>
    <w:p w:rsidR="00BB3C3E" w:rsidRPr="00B971E8" w:rsidRDefault="00BB3C3E" w:rsidP="009717C5">
      <w:pPr>
        <w:pStyle w:val="TtuloTabla"/>
        <w:spacing w:after="0"/>
        <w:ind w:left="720"/>
        <w:rPr>
          <w:rFonts w:ascii="Open Sans" w:hAnsi="Open Sans" w:cs="Open Sans"/>
          <w:b w:val="0"/>
          <w:i/>
          <w:color w:val="3B3838" w:themeColor="background2" w:themeShade="40"/>
          <w:sz w:val="16"/>
        </w:rPr>
      </w:pPr>
      <w:r w:rsidRPr="009717C5">
        <w:rPr>
          <w:rFonts w:ascii="Open Sans" w:hAnsi="Open Sans" w:cs="Open Sans"/>
          <w:b w:val="0"/>
          <w:i/>
          <w:color w:val="3B3838" w:themeColor="background2" w:themeShade="40"/>
          <w:sz w:val="16"/>
        </w:rPr>
        <w:t xml:space="preserve">Nota: (i) Aunque LGBTI no es una categoría correcta para la </w:t>
      </w:r>
      <w:r w:rsidR="009220C4" w:rsidRPr="009717C5">
        <w:rPr>
          <w:rFonts w:ascii="Open Sans" w:hAnsi="Open Sans" w:cs="Open Sans"/>
          <w:b w:val="0"/>
          <w:i/>
          <w:color w:val="3B3838" w:themeColor="background2" w:themeShade="40"/>
          <w:sz w:val="16"/>
        </w:rPr>
        <w:t xml:space="preserve">presentación de la </w:t>
      </w:r>
      <w:r w:rsidRPr="009717C5">
        <w:rPr>
          <w:rFonts w:ascii="Open Sans" w:hAnsi="Open Sans" w:cs="Open Sans"/>
          <w:b w:val="0"/>
          <w:i/>
          <w:color w:val="3B3838" w:themeColor="background2" w:themeShade="40"/>
          <w:sz w:val="16"/>
        </w:rPr>
        <w:t xml:space="preserve">clasificación por sexo, el Registro Único de Víctimas </w:t>
      </w:r>
      <w:r w:rsidR="009220C4" w:rsidRPr="009717C5">
        <w:rPr>
          <w:rFonts w:ascii="Open Sans" w:hAnsi="Open Sans" w:cs="Open Sans"/>
          <w:b w:val="0"/>
          <w:i/>
          <w:color w:val="3B3838" w:themeColor="background2" w:themeShade="40"/>
          <w:sz w:val="16"/>
        </w:rPr>
        <w:t>la presenta como tal.</w:t>
      </w:r>
    </w:p>
    <w:p w:rsidR="0080706F" w:rsidRDefault="0080706F" w:rsidP="0080706F">
      <w:pPr>
        <w:rPr>
          <w:rFonts w:ascii="Open Sans" w:hAnsi="Open Sans" w:cs="Open Sans"/>
        </w:rPr>
      </w:pPr>
    </w:p>
    <w:p w:rsidR="00456560" w:rsidRDefault="00456560" w:rsidP="009F05BA">
      <w:pPr>
        <w:pStyle w:val="Prrafodelista"/>
        <w:numPr>
          <w:ilvl w:val="0"/>
          <w:numId w:val="4"/>
        </w:numPr>
        <w:rPr>
          <w:rFonts w:ascii="Open Sans" w:hAnsi="Open Sans" w:cs="Open Sans"/>
          <w:b/>
          <w:i/>
          <w:u w:val="single"/>
        </w:rPr>
      </w:pPr>
      <w:r>
        <w:rPr>
          <w:rFonts w:ascii="Open Sans" w:hAnsi="Open Sans" w:cs="Open Sans"/>
          <w:b/>
          <w:i/>
          <w:u w:val="single"/>
        </w:rPr>
        <w:lastRenderedPageBreak/>
        <w:t>Pertenencia étnica de las niñas y adolescentes víctimas residentes en Bogotá</w:t>
      </w:r>
    </w:p>
    <w:p w:rsidR="00456560" w:rsidRDefault="00456560" w:rsidP="00456560">
      <w:pPr>
        <w:pStyle w:val="Prrafodelista"/>
        <w:ind w:left="502"/>
        <w:rPr>
          <w:rFonts w:ascii="Open Sans" w:hAnsi="Open Sans" w:cs="Open Sans"/>
          <w:sz w:val="20"/>
          <w:szCs w:val="20"/>
          <w:lang w:val="es-ES_tradnl" w:eastAsia="zh-CN"/>
        </w:rPr>
      </w:pPr>
    </w:p>
    <w:p w:rsidR="00456560" w:rsidRPr="00456560" w:rsidRDefault="00456560" w:rsidP="00456560">
      <w:pPr>
        <w:pStyle w:val="Prrafodelista"/>
        <w:numPr>
          <w:ilvl w:val="0"/>
          <w:numId w:val="6"/>
        </w:numPr>
        <w:ind w:left="567"/>
        <w:rPr>
          <w:rFonts w:ascii="Open Sans" w:hAnsi="Open Sans" w:cs="Open Sans"/>
          <w:b/>
          <w:i/>
          <w:u w:val="single"/>
        </w:rPr>
      </w:pPr>
      <w:r w:rsidRPr="00456560">
        <w:rPr>
          <w:rFonts w:ascii="Open Sans" w:hAnsi="Open Sans" w:cs="Open Sans"/>
          <w:sz w:val="20"/>
          <w:szCs w:val="20"/>
          <w:lang w:val="es-ES_tradnl" w:eastAsia="zh-CN"/>
        </w:rPr>
        <w:t xml:space="preserve">En Bogotá residen 6.278 niñas y adolescentes víctimas del conflicto con pertenencia étnica negra o afro. Esto corresponde al 12,08% de las 51.962 niñas y adolescentes totales. </w:t>
      </w:r>
    </w:p>
    <w:p w:rsidR="00D41A4D" w:rsidRPr="00456560" w:rsidRDefault="00456560" w:rsidP="00456560">
      <w:pPr>
        <w:pStyle w:val="Prrafodelista"/>
        <w:numPr>
          <w:ilvl w:val="0"/>
          <w:numId w:val="6"/>
        </w:numPr>
        <w:ind w:left="567"/>
        <w:rPr>
          <w:rFonts w:ascii="Open Sans" w:hAnsi="Open Sans" w:cs="Open Sans"/>
          <w:b/>
          <w:i/>
          <w:u w:val="single"/>
        </w:rPr>
      </w:pPr>
      <w:r>
        <w:rPr>
          <w:rFonts w:ascii="Open Sans" w:hAnsi="Open Sans" w:cs="Open Sans"/>
          <w:sz w:val="20"/>
          <w:szCs w:val="20"/>
          <w:lang w:val="es-ES_tradnl" w:eastAsia="zh-CN"/>
        </w:rPr>
        <w:t xml:space="preserve">799 </w:t>
      </w:r>
      <w:r w:rsidRPr="00456560">
        <w:rPr>
          <w:rFonts w:ascii="Open Sans" w:hAnsi="Open Sans" w:cs="Open Sans"/>
          <w:sz w:val="20"/>
          <w:szCs w:val="20"/>
          <w:lang w:val="es-ES_tradnl" w:eastAsia="zh-CN"/>
        </w:rPr>
        <w:t>niñas y adolescentes víctima</w:t>
      </w:r>
      <w:r>
        <w:rPr>
          <w:rFonts w:ascii="Open Sans" w:hAnsi="Open Sans" w:cs="Open Sans"/>
          <w:sz w:val="20"/>
          <w:szCs w:val="20"/>
          <w:lang w:val="es-ES_tradnl" w:eastAsia="zh-CN"/>
        </w:rPr>
        <w:t xml:space="preserve">s tienen pertenencia étnica indígena, 24 raizal, 17 </w:t>
      </w:r>
      <w:proofErr w:type="spellStart"/>
      <w:r>
        <w:rPr>
          <w:rFonts w:ascii="Open Sans" w:hAnsi="Open Sans" w:cs="Open Sans"/>
          <w:sz w:val="20"/>
          <w:szCs w:val="20"/>
          <w:lang w:val="es-ES_tradnl" w:eastAsia="zh-CN"/>
        </w:rPr>
        <w:t>Rrom</w:t>
      </w:r>
      <w:proofErr w:type="spellEnd"/>
      <w:r>
        <w:rPr>
          <w:rFonts w:ascii="Open Sans" w:hAnsi="Open Sans" w:cs="Open Sans"/>
          <w:sz w:val="20"/>
          <w:szCs w:val="20"/>
          <w:lang w:val="es-ES_tradnl" w:eastAsia="zh-CN"/>
        </w:rPr>
        <w:t xml:space="preserve"> y 2 </w:t>
      </w:r>
      <w:proofErr w:type="spellStart"/>
      <w:r>
        <w:rPr>
          <w:rFonts w:ascii="Open Sans" w:hAnsi="Open Sans" w:cs="Open Sans"/>
          <w:sz w:val="20"/>
          <w:szCs w:val="20"/>
          <w:lang w:val="es-ES_tradnl" w:eastAsia="zh-CN"/>
        </w:rPr>
        <w:t>palenqueras</w:t>
      </w:r>
      <w:proofErr w:type="spellEnd"/>
      <w:r>
        <w:rPr>
          <w:rFonts w:ascii="Open Sans" w:hAnsi="Open Sans" w:cs="Open Sans"/>
          <w:sz w:val="20"/>
          <w:szCs w:val="20"/>
          <w:lang w:val="es-ES_tradnl" w:eastAsia="zh-CN"/>
        </w:rPr>
        <w:t xml:space="preserve">. </w:t>
      </w:r>
    </w:p>
    <w:p w:rsidR="00456560" w:rsidRPr="00456560" w:rsidRDefault="00456560" w:rsidP="00456560">
      <w:pPr>
        <w:pStyle w:val="Prrafodelista"/>
        <w:numPr>
          <w:ilvl w:val="0"/>
          <w:numId w:val="6"/>
        </w:numPr>
        <w:ind w:left="567"/>
        <w:rPr>
          <w:rFonts w:ascii="Open Sans" w:hAnsi="Open Sans" w:cs="Open Sans"/>
          <w:b/>
          <w:i/>
          <w:u w:val="single"/>
        </w:rPr>
      </w:pPr>
      <w:r>
        <w:rPr>
          <w:rFonts w:ascii="Open Sans" w:hAnsi="Open Sans" w:cs="Open Sans"/>
          <w:sz w:val="20"/>
          <w:szCs w:val="20"/>
          <w:lang w:val="es-ES_tradnl" w:eastAsia="zh-CN"/>
        </w:rPr>
        <w:t xml:space="preserve">El 85,35% de las niñas y adolescentes víctimas residentes en Bogotá se registran con ninguna pertenencia étnica. </w:t>
      </w:r>
    </w:p>
    <w:p w:rsidR="009F05BA" w:rsidRDefault="009F05BA" w:rsidP="00456560">
      <w:pPr>
        <w:pStyle w:val="TtuloTabla"/>
        <w:ind w:left="502"/>
        <w:rPr>
          <w:rFonts w:ascii="Open Sans" w:hAnsi="Open Sans" w:cs="Open Sans"/>
          <w:sz w:val="18"/>
        </w:rPr>
      </w:pPr>
      <w:r>
        <w:rPr>
          <w:rFonts w:ascii="Open Sans" w:hAnsi="Open Sans" w:cs="Open Sans"/>
          <w:sz w:val="18"/>
        </w:rPr>
        <w:t>Tabla 2</w:t>
      </w:r>
      <w:r w:rsidRPr="00B971E8">
        <w:rPr>
          <w:rFonts w:ascii="Open Sans" w:hAnsi="Open Sans" w:cs="Open Sans"/>
          <w:sz w:val="18"/>
        </w:rPr>
        <w:t xml:space="preserve">. </w:t>
      </w:r>
      <w:r w:rsidR="00456560">
        <w:rPr>
          <w:rFonts w:ascii="Open Sans" w:hAnsi="Open Sans" w:cs="Open Sans"/>
          <w:sz w:val="18"/>
        </w:rPr>
        <w:t>Niñas y adolescentes v</w:t>
      </w:r>
      <w:r w:rsidRPr="00B971E8">
        <w:rPr>
          <w:rFonts w:ascii="Open Sans" w:hAnsi="Open Sans" w:cs="Open Sans"/>
          <w:sz w:val="18"/>
        </w:rPr>
        <w:t>íctimas r</w:t>
      </w:r>
      <w:r>
        <w:rPr>
          <w:rFonts w:ascii="Open Sans" w:hAnsi="Open Sans" w:cs="Open Sans"/>
          <w:sz w:val="18"/>
        </w:rPr>
        <w:t xml:space="preserve">esidentes en Bogotá, </w:t>
      </w:r>
      <w:r w:rsidR="00456560">
        <w:rPr>
          <w:rFonts w:ascii="Open Sans" w:hAnsi="Open Sans" w:cs="Open Sans"/>
          <w:sz w:val="18"/>
        </w:rPr>
        <w:t xml:space="preserve">por ciclo vital </w:t>
      </w:r>
      <w:r>
        <w:rPr>
          <w:rFonts w:ascii="Open Sans" w:hAnsi="Open Sans" w:cs="Open Sans"/>
          <w:sz w:val="18"/>
        </w:rPr>
        <w:t>y pertenencia étnica</w:t>
      </w:r>
    </w:p>
    <w:tbl>
      <w:tblPr>
        <w:tblpPr w:leftFromText="141" w:rightFromText="141" w:vertAnchor="text" w:horzAnchor="margin" w:tblpXSpec="center" w:tblpY="122"/>
        <w:tblW w:w="494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7"/>
        <w:gridCol w:w="1492"/>
        <w:gridCol w:w="1178"/>
        <w:gridCol w:w="1185"/>
        <w:gridCol w:w="1184"/>
        <w:gridCol w:w="1182"/>
      </w:tblGrid>
      <w:tr w:rsidR="00456560" w:rsidRPr="009F05BA" w:rsidTr="00456560">
        <w:trPr>
          <w:trHeight w:val="379"/>
        </w:trPr>
        <w:tc>
          <w:tcPr>
            <w:tcW w:w="143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456560" w:rsidRPr="009F05BA" w:rsidRDefault="00456560" w:rsidP="009F05B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es-CO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es-CO"/>
              </w:rPr>
              <w:t>P</w:t>
            </w:r>
            <w:r w:rsidRPr="009F05BA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es-CO"/>
              </w:rPr>
              <w:t>ertenencia étnica</w:t>
            </w:r>
          </w:p>
        </w:tc>
        <w:tc>
          <w:tcPr>
            <w:tcW w:w="85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456560" w:rsidRPr="009F05BA" w:rsidRDefault="00456560" w:rsidP="009F05B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9F05BA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es-CO"/>
              </w:rPr>
              <w:t>Primera Infancia (0 - 5 años)</w:t>
            </w:r>
          </w:p>
        </w:tc>
        <w:tc>
          <w:tcPr>
            <w:tcW w:w="67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456560" w:rsidRDefault="00456560" w:rsidP="009F05B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9F05BA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es-CO"/>
              </w:rPr>
              <w:t>Infancia</w:t>
            </w:r>
          </w:p>
          <w:p w:rsidR="00456560" w:rsidRPr="009F05BA" w:rsidRDefault="00456560" w:rsidP="009F05B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9F05BA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es-CO"/>
              </w:rPr>
              <w:t>(6 - 11 años)</w:t>
            </w:r>
          </w:p>
        </w:tc>
        <w:tc>
          <w:tcPr>
            <w:tcW w:w="67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456560" w:rsidRDefault="00456560" w:rsidP="009F05B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9F05BA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es-CO"/>
              </w:rPr>
              <w:t>Adolescencia</w:t>
            </w:r>
            <w:r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es-CO"/>
              </w:rPr>
              <w:t xml:space="preserve"> </w:t>
            </w:r>
          </w:p>
          <w:p w:rsidR="00456560" w:rsidRPr="009F05BA" w:rsidRDefault="00456560" w:rsidP="009F05B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9F05BA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es-CO"/>
              </w:rPr>
              <w:t>(12 - 17 años)</w:t>
            </w:r>
          </w:p>
        </w:tc>
        <w:tc>
          <w:tcPr>
            <w:tcW w:w="67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</w:tcPr>
          <w:p w:rsidR="00456560" w:rsidRPr="009F05BA" w:rsidRDefault="00456560" w:rsidP="009F05B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es-CO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es-CO"/>
              </w:rPr>
              <w:t>Total</w:t>
            </w:r>
          </w:p>
        </w:tc>
        <w:tc>
          <w:tcPr>
            <w:tcW w:w="67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</w:tcPr>
          <w:p w:rsidR="00456560" w:rsidRDefault="00456560" w:rsidP="009F05B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es-CO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es-CO"/>
              </w:rPr>
              <w:t xml:space="preserve">Porcentaje </w:t>
            </w:r>
          </w:p>
        </w:tc>
      </w:tr>
      <w:tr w:rsidR="00456560" w:rsidRPr="009F05BA" w:rsidTr="00456560">
        <w:trPr>
          <w:trHeight w:val="234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560" w:rsidRPr="009F05BA" w:rsidRDefault="00456560" w:rsidP="00456560">
            <w:pPr>
              <w:spacing w:after="0" w:line="240" w:lineRule="auto"/>
              <w:ind w:firstLineChars="100" w:firstLine="16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9F05BA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Ninguna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560" w:rsidRPr="009F05BA" w:rsidRDefault="00456560" w:rsidP="0045656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9F05BA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8.501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560" w:rsidRPr="009F05BA" w:rsidRDefault="00456560" w:rsidP="0045656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9F05BA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17.869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560" w:rsidRPr="009F05BA" w:rsidRDefault="00456560" w:rsidP="0045656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9F05BA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17.979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60" w:rsidRPr="009F05BA" w:rsidRDefault="00456560" w:rsidP="0045656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44.349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60" w:rsidRPr="00456560" w:rsidRDefault="00456560" w:rsidP="0045656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456560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85,35%</w:t>
            </w:r>
          </w:p>
        </w:tc>
      </w:tr>
      <w:tr w:rsidR="00456560" w:rsidRPr="009F05BA" w:rsidTr="00456560">
        <w:trPr>
          <w:trHeight w:val="234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560" w:rsidRPr="009F05BA" w:rsidRDefault="00456560" w:rsidP="00456560">
            <w:pPr>
              <w:spacing w:after="0" w:line="240" w:lineRule="auto"/>
              <w:ind w:firstLineChars="100" w:firstLine="16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9F05BA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Negro(a) o Afrocolombiano(a)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560" w:rsidRPr="009F05BA" w:rsidRDefault="00456560" w:rsidP="0045656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9F05BA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658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560" w:rsidRPr="009F05BA" w:rsidRDefault="00456560" w:rsidP="0045656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9F05BA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2.815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560" w:rsidRPr="009F05BA" w:rsidRDefault="00456560" w:rsidP="0045656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9F05BA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2.805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60" w:rsidRPr="009F05BA" w:rsidRDefault="00456560" w:rsidP="0045656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6.278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60" w:rsidRPr="00456560" w:rsidRDefault="00456560" w:rsidP="0045656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456560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12,08%</w:t>
            </w:r>
          </w:p>
        </w:tc>
      </w:tr>
      <w:tr w:rsidR="00456560" w:rsidRPr="009F05BA" w:rsidTr="00456560">
        <w:trPr>
          <w:trHeight w:val="234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560" w:rsidRPr="009F05BA" w:rsidRDefault="00456560" w:rsidP="00456560">
            <w:pPr>
              <w:spacing w:after="0" w:line="240" w:lineRule="auto"/>
              <w:ind w:firstLineChars="100" w:firstLine="16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9F05BA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Indígena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560" w:rsidRPr="009F05BA" w:rsidRDefault="00456560" w:rsidP="0045656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9F05BA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53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560" w:rsidRPr="009F05BA" w:rsidRDefault="00456560" w:rsidP="0045656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9F05BA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237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560" w:rsidRPr="009F05BA" w:rsidRDefault="00456560" w:rsidP="0045656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9F05BA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509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60" w:rsidRPr="009F05BA" w:rsidRDefault="00456560" w:rsidP="0045656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799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60" w:rsidRPr="00456560" w:rsidRDefault="00456560" w:rsidP="0045656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456560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1,54%</w:t>
            </w:r>
          </w:p>
        </w:tc>
      </w:tr>
      <w:tr w:rsidR="00456560" w:rsidRPr="009F05BA" w:rsidTr="00456560">
        <w:trPr>
          <w:trHeight w:val="234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560" w:rsidRPr="009F05BA" w:rsidRDefault="00456560" w:rsidP="00456560">
            <w:pPr>
              <w:spacing w:after="0" w:line="240" w:lineRule="auto"/>
              <w:ind w:firstLineChars="100" w:firstLine="16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Raizal(ii)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560" w:rsidRPr="009F05BA" w:rsidRDefault="00456560" w:rsidP="0045656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9F05BA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560" w:rsidRPr="009F05BA" w:rsidRDefault="00456560" w:rsidP="0045656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9F05BA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560" w:rsidRPr="009F05BA" w:rsidRDefault="00456560" w:rsidP="0045656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9F05BA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20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60" w:rsidRPr="009F05BA" w:rsidRDefault="00456560" w:rsidP="0045656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24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60" w:rsidRPr="00456560" w:rsidRDefault="00456560" w:rsidP="0045656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456560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0,05%</w:t>
            </w:r>
          </w:p>
        </w:tc>
      </w:tr>
      <w:tr w:rsidR="00456560" w:rsidRPr="009F05BA" w:rsidTr="00456560">
        <w:trPr>
          <w:trHeight w:val="234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560" w:rsidRPr="009F05BA" w:rsidRDefault="00456560" w:rsidP="00456560">
            <w:pPr>
              <w:spacing w:after="0" w:line="240" w:lineRule="auto"/>
              <w:ind w:firstLineChars="100" w:firstLine="16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9F05BA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 xml:space="preserve">Gitano(a) </w:t>
            </w:r>
            <w:proofErr w:type="spellStart"/>
            <w:r w:rsidRPr="009F05BA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R</w:t>
            </w:r>
            <w:r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rom</w:t>
            </w:r>
            <w:proofErr w:type="spellEnd"/>
            <w:r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 xml:space="preserve"> (iii)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60" w:rsidRPr="00FF218A" w:rsidRDefault="00456560" w:rsidP="0045656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FF218A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60" w:rsidRPr="00FF218A" w:rsidRDefault="00456560" w:rsidP="0045656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FF218A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560" w:rsidRPr="00FF218A" w:rsidRDefault="00456560" w:rsidP="0045656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FF218A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60" w:rsidRPr="00FF218A" w:rsidRDefault="00456560" w:rsidP="0045656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17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60" w:rsidRPr="00456560" w:rsidRDefault="00456560" w:rsidP="0045656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456560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0,03%</w:t>
            </w:r>
          </w:p>
        </w:tc>
      </w:tr>
      <w:tr w:rsidR="00456560" w:rsidRPr="009F05BA" w:rsidTr="00456560">
        <w:trPr>
          <w:trHeight w:val="234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560" w:rsidRPr="009F05BA" w:rsidRDefault="00456560" w:rsidP="00456560">
            <w:pPr>
              <w:spacing w:after="0" w:line="240" w:lineRule="auto"/>
              <w:ind w:firstLineChars="100" w:firstLine="160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Palenquera</w:t>
            </w:r>
            <w:proofErr w:type="spellEnd"/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560" w:rsidRPr="009F05BA" w:rsidRDefault="00456560" w:rsidP="00456560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9F05BA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560" w:rsidRPr="009F05BA" w:rsidRDefault="00456560" w:rsidP="00456560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9F05BA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560" w:rsidRPr="009F05BA" w:rsidRDefault="00456560" w:rsidP="0045656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9F05BA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60" w:rsidRPr="009F05BA" w:rsidRDefault="00456560" w:rsidP="0045656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60" w:rsidRPr="00456560" w:rsidRDefault="00456560" w:rsidP="0045656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456560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0,00%</w:t>
            </w:r>
          </w:p>
        </w:tc>
      </w:tr>
      <w:tr w:rsidR="00456560" w:rsidRPr="009F05BA" w:rsidTr="00456560">
        <w:trPr>
          <w:trHeight w:val="234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560" w:rsidRPr="009F05BA" w:rsidRDefault="00456560" w:rsidP="0045656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CO"/>
              </w:rPr>
              <w:t>Total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560" w:rsidRPr="009F05BA" w:rsidRDefault="00456560" w:rsidP="0045656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9F05BA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CO"/>
              </w:rPr>
              <w:t>9.217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560" w:rsidRPr="009F05BA" w:rsidRDefault="00456560" w:rsidP="0045656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9F05BA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CO"/>
              </w:rPr>
              <w:t>21.046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560" w:rsidRPr="009F05BA" w:rsidRDefault="00456560" w:rsidP="0045656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9F05BA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CO"/>
              </w:rPr>
              <w:t>21.699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60" w:rsidRPr="009F05BA" w:rsidRDefault="00456560" w:rsidP="0045656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CO"/>
              </w:rPr>
              <w:t>51.962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60" w:rsidRPr="00456560" w:rsidRDefault="00456560" w:rsidP="0045656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  <w:lang w:eastAsia="es-CO"/>
              </w:rPr>
            </w:pPr>
            <w:r w:rsidRPr="00456560">
              <w:rPr>
                <w:rFonts w:ascii="Open Sans" w:eastAsia="Times New Roman" w:hAnsi="Open Sans" w:cs="Open Sans"/>
                <w:b/>
                <w:color w:val="000000"/>
                <w:sz w:val="16"/>
                <w:szCs w:val="16"/>
                <w:lang w:eastAsia="es-CO"/>
              </w:rPr>
              <w:t>100,00%</w:t>
            </w:r>
          </w:p>
        </w:tc>
      </w:tr>
    </w:tbl>
    <w:p w:rsidR="009F05BA" w:rsidRDefault="009F05BA" w:rsidP="009F05BA">
      <w:pPr>
        <w:pStyle w:val="TtuloTabla"/>
        <w:spacing w:after="0"/>
        <w:ind w:left="720"/>
        <w:rPr>
          <w:rFonts w:ascii="Open Sans" w:hAnsi="Open Sans" w:cs="Open Sans"/>
          <w:b w:val="0"/>
          <w:i/>
          <w:color w:val="3B3838" w:themeColor="background2" w:themeShade="40"/>
          <w:sz w:val="16"/>
        </w:rPr>
      </w:pPr>
    </w:p>
    <w:p w:rsidR="009F05BA" w:rsidRPr="00B971E8" w:rsidRDefault="009F05BA" w:rsidP="009F05BA">
      <w:pPr>
        <w:pStyle w:val="TtuloTabla"/>
        <w:spacing w:after="0"/>
        <w:ind w:left="720"/>
        <w:rPr>
          <w:rFonts w:ascii="Open Sans" w:hAnsi="Open Sans" w:cs="Open Sans"/>
          <w:b w:val="0"/>
          <w:i/>
          <w:color w:val="3B3838" w:themeColor="background2" w:themeShade="40"/>
          <w:sz w:val="16"/>
        </w:rPr>
      </w:pPr>
      <w:r w:rsidRPr="00B971E8">
        <w:rPr>
          <w:rFonts w:ascii="Open Sans" w:hAnsi="Open Sans" w:cs="Open Sans"/>
          <w:b w:val="0"/>
          <w:i/>
          <w:color w:val="3B3838" w:themeColor="background2" w:themeShade="40"/>
          <w:sz w:val="16"/>
        </w:rPr>
        <w:t>Fuente. RUV, UARIV. Corte a 1 de abril de 2018.</w:t>
      </w:r>
    </w:p>
    <w:p w:rsidR="00D41A4D" w:rsidRPr="00D41A4D" w:rsidRDefault="009F05BA" w:rsidP="00D41A4D">
      <w:pPr>
        <w:pStyle w:val="TtuloTabla"/>
        <w:spacing w:after="0"/>
        <w:ind w:left="142"/>
        <w:jc w:val="both"/>
        <w:rPr>
          <w:rFonts w:ascii="Open Sans" w:hAnsi="Open Sans" w:cs="Open Sans"/>
          <w:b w:val="0"/>
          <w:i/>
          <w:color w:val="3B3838" w:themeColor="background2" w:themeShade="40"/>
          <w:sz w:val="16"/>
        </w:rPr>
      </w:pPr>
      <w:r w:rsidRPr="009717C5">
        <w:rPr>
          <w:rFonts w:ascii="Open Sans" w:hAnsi="Open Sans" w:cs="Open Sans"/>
          <w:b w:val="0"/>
          <w:i/>
          <w:color w:val="3B3838" w:themeColor="background2" w:themeShade="40"/>
          <w:sz w:val="16"/>
        </w:rPr>
        <w:t>Nota</w:t>
      </w:r>
      <w:r w:rsidR="00D41A4D">
        <w:rPr>
          <w:rFonts w:ascii="Open Sans" w:hAnsi="Open Sans" w:cs="Open Sans"/>
          <w:b w:val="0"/>
          <w:i/>
          <w:color w:val="3B3838" w:themeColor="background2" w:themeShade="40"/>
          <w:sz w:val="16"/>
        </w:rPr>
        <w:t>s</w:t>
      </w:r>
      <w:r w:rsidRPr="009717C5">
        <w:rPr>
          <w:rFonts w:ascii="Open Sans" w:hAnsi="Open Sans" w:cs="Open Sans"/>
          <w:b w:val="0"/>
          <w:i/>
          <w:color w:val="3B3838" w:themeColor="background2" w:themeShade="40"/>
          <w:sz w:val="16"/>
        </w:rPr>
        <w:t>: (i) Aunque LGBTI no es una categoría correcta para la presentación de la clasificación por sexo, el Registro Único de Víctimas la presenta como tal.</w:t>
      </w:r>
      <w:r>
        <w:rPr>
          <w:rFonts w:ascii="Open Sans" w:hAnsi="Open Sans" w:cs="Open Sans"/>
          <w:b w:val="0"/>
          <w:i/>
          <w:color w:val="3B3838" w:themeColor="background2" w:themeShade="40"/>
          <w:sz w:val="16"/>
        </w:rPr>
        <w:t xml:space="preserve"> (ii) </w:t>
      </w:r>
      <w:r w:rsidRPr="009F05BA">
        <w:rPr>
          <w:rFonts w:ascii="Open Sans" w:hAnsi="Open Sans" w:cs="Open Sans"/>
          <w:b w:val="0"/>
          <w:i/>
          <w:color w:val="3B3838" w:themeColor="background2" w:themeShade="40"/>
          <w:sz w:val="16"/>
        </w:rPr>
        <w:t>Raizal del Archipiélago de San Andrés y Providencia</w:t>
      </w:r>
      <w:r>
        <w:rPr>
          <w:rFonts w:ascii="Open Sans" w:hAnsi="Open Sans" w:cs="Open Sans"/>
          <w:b w:val="0"/>
          <w:i/>
          <w:color w:val="3B3838" w:themeColor="background2" w:themeShade="40"/>
          <w:sz w:val="16"/>
        </w:rPr>
        <w:t xml:space="preserve">. </w:t>
      </w:r>
      <w:r w:rsidR="00D41A4D" w:rsidRPr="00D41A4D">
        <w:rPr>
          <w:rFonts w:ascii="Open Sans" w:hAnsi="Open Sans" w:cs="Open Sans"/>
          <w:b w:val="0"/>
          <w:i/>
          <w:color w:val="3B3838" w:themeColor="background2" w:themeShade="40"/>
          <w:sz w:val="16"/>
        </w:rPr>
        <w:t>(i</w:t>
      </w:r>
      <w:r w:rsidR="00D41A4D">
        <w:rPr>
          <w:rFonts w:ascii="Open Sans" w:hAnsi="Open Sans" w:cs="Open Sans"/>
          <w:b w:val="0"/>
          <w:i/>
          <w:color w:val="3B3838" w:themeColor="background2" w:themeShade="40"/>
          <w:sz w:val="16"/>
        </w:rPr>
        <w:t>ii</w:t>
      </w:r>
      <w:r w:rsidR="00D41A4D" w:rsidRPr="00D41A4D">
        <w:rPr>
          <w:rFonts w:ascii="Open Sans" w:hAnsi="Open Sans" w:cs="Open Sans"/>
          <w:b w:val="0"/>
          <w:i/>
          <w:color w:val="3B3838" w:themeColor="background2" w:themeShade="40"/>
          <w:sz w:val="16"/>
        </w:rPr>
        <w:t xml:space="preserve">) </w:t>
      </w:r>
      <w:r w:rsidR="00D41A4D">
        <w:rPr>
          <w:rFonts w:ascii="Open Sans" w:hAnsi="Open Sans" w:cs="Open Sans"/>
          <w:b w:val="0"/>
          <w:i/>
          <w:color w:val="3B3838" w:themeColor="background2" w:themeShade="40"/>
          <w:sz w:val="16"/>
        </w:rPr>
        <w:t>E</w:t>
      </w:r>
      <w:r w:rsidR="00D41A4D" w:rsidRPr="00D41A4D">
        <w:rPr>
          <w:rFonts w:ascii="Open Sans" w:hAnsi="Open Sans" w:cs="Open Sans"/>
          <w:b w:val="0"/>
          <w:i/>
          <w:color w:val="3B3838" w:themeColor="background2" w:themeShade="40"/>
          <w:sz w:val="16"/>
        </w:rPr>
        <w:t xml:space="preserve">l dato de víctimas </w:t>
      </w:r>
      <w:proofErr w:type="spellStart"/>
      <w:r w:rsidR="00D41A4D" w:rsidRPr="00D41A4D">
        <w:rPr>
          <w:rFonts w:ascii="Open Sans" w:hAnsi="Open Sans" w:cs="Open Sans"/>
          <w:b w:val="0"/>
          <w:i/>
          <w:color w:val="3B3838" w:themeColor="background2" w:themeShade="40"/>
          <w:sz w:val="16"/>
        </w:rPr>
        <w:t>Rrom</w:t>
      </w:r>
      <w:proofErr w:type="spellEnd"/>
      <w:r w:rsidR="00D41A4D" w:rsidRPr="00D41A4D">
        <w:rPr>
          <w:rFonts w:ascii="Open Sans" w:hAnsi="Open Sans" w:cs="Open Sans"/>
          <w:b w:val="0"/>
          <w:i/>
          <w:color w:val="3B3838" w:themeColor="background2" w:themeShade="40"/>
          <w:sz w:val="16"/>
        </w:rPr>
        <w:t xml:space="preserve"> se encuentra aún en revisión por parte de la UARIV y por tanto no es extraído de la misma fuente de datos abiertos del RNI, dado que la UARIV, a la fecha, no ha podido depurar las bases de datos abiertos para el caso particular de las víctimas con esta pertenencia étnica. Por tanto, el equipo de Estrategia, Seguimiento y Evaluación de la Alta Consejería para los Derechos de las víctimas, la paz y la reconciliación, realizó un cruce del censo de la población </w:t>
      </w:r>
      <w:proofErr w:type="spellStart"/>
      <w:r w:rsidR="00D41A4D" w:rsidRPr="00D41A4D">
        <w:rPr>
          <w:rFonts w:ascii="Open Sans" w:hAnsi="Open Sans" w:cs="Open Sans"/>
          <w:b w:val="0"/>
          <w:i/>
          <w:color w:val="3B3838" w:themeColor="background2" w:themeShade="40"/>
          <w:sz w:val="16"/>
        </w:rPr>
        <w:t>Rrom</w:t>
      </w:r>
      <w:proofErr w:type="spellEnd"/>
      <w:r w:rsidR="00D41A4D" w:rsidRPr="00D41A4D">
        <w:rPr>
          <w:rFonts w:ascii="Open Sans" w:hAnsi="Open Sans" w:cs="Open Sans"/>
          <w:b w:val="0"/>
          <w:i/>
          <w:color w:val="3B3838" w:themeColor="background2" w:themeShade="40"/>
          <w:sz w:val="16"/>
        </w:rPr>
        <w:t xml:space="preserve"> residente en Bogotá (Dirección de Asuntos Indígenas </w:t>
      </w:r>
      <w:proofErr w:type="spellStart"/>
      <w:r w:rsidR="00D41A4D" w:rsidRPr="00D41A4D">
        <w:rPr>
          <w:rFonts w:ascii="Open Sans" w:hAnsi="Open Sans" w:cs="Open Sans"/>
          <w:b w:val="0"/>
          <w:i/>
          <w:color w:val="3B3838" w:themeColor="background2" w:themeShade="40"/>
          <w:sz w:val="16"/>
        </w:rPr>
        <w:t>Rrom</w:t>
      </w:r>
      <w:proofErr w:type="spellEnd"/>
      <w:r w:rsidR="00D41A4D" w:rsidRPr="00D41A4D">
        <w:rPr>
          <w:rFonts w:ascii="Open Sans" w:hAnsi="Open Sans" w:cs="Open Sans"/>
          <w:b w:val="0"/>
          <w:i/>
          <w:color w:val="3B3838" w:themeColor="background2" w:themeShade="40"/>
          <w:sz w:val="16"/>
        </w:rPr>
        <w:t xml:space="preserve"> y Minorías, Ministerio del Interior, validado en septiembre de 2017) con la base de datos de las personas incluidas en el RUV. Debido al ajuste del dato de víctimas con pertenencia étnica </w:t>
      </w:r>
      <w:proofErr w:type="spellStart"/>
      <w:r w:rsidR="00D41A4D" w:rsidRPr="00D41A4D">
        <w:rPr>
          <w:rFonts w:ascii="Open Sans" w:hAnsi="Open Sans" w:cs="Open Sans"/>
          <w:b w:val="0"/>
          <w:i/>
          <w:color w:val="3B3838" w:themeColor="background2" w:themeShade="40"/>
          <w:sz w:val="16"/>
        </w:rPr>
        <w:t>Rrom</w:t>
      </w:r>
      <w:proofErr w:type="spellEnd"/>
      <w:r w:rsidR="00D41A4D" w:rsidRPr="00D41A4D">
        <w:rPr>
          <w:rFonts w:ascii="Open Sans" w:hAnsi="Open Sans" w:cs="Open Sans"/>
          <w:b w:val="0"/>
          <w:i/>
          <w:color w:val="3B3838" w:themeColor="background2" w:themeShade="40"/>
          <w:sz w:val="16"/>
        </w:rPr>
        <w:t xml:space="preserve"> residentes en Bogotá, el total general de esta tabla (fila inferior) no coincide con la suma de las categorías de pertenencia étnica presentadas. </w:t>
      </w:r>
    </w:p>
    <w:p w:rsidR="009F05BA" w:rsidRDefault="009F05BA" w:rsidP="0080706F">
      <w:pPr>
        <w:rPr>
          <w:rFonts w:ascii="Open Sans" w:hAnsi="Open Sans" w:cs="Open Sans"/>
        </w:rPr>
      </w:pPr>
    </w:p>
    <w:p w:rsidR="009F05BA" w:rsidRDefault="009F05BA" w:rsidP="0080706F">
      <w:pPr>
        <w:rPr>
          <w:rFonts w:ascii="Open Sans" w:hAnsi="Open Sans" w:cs="Open Sans"/>
        </w:rPr>
      </w:pPr>
    </w:p>
    <w:p w:rsidR="009F05BA" w:rsidRDefault="009F05BA" w:rsidP="009F05BA">
      <w:pPr>
        <w:pStyle w:val="TtuloTabla"/>
        <w:ind w:left="502"/>
        <w:jc w:val="left"/>
        <w:rPr>
          <w:rFonts w:ascii="Open Sans" w:hAnsi="Open Sans" w:cs="Open Sans"/>
          <w:sz w:val="18"/>
        </w:rPr>
      </w:pPr>
    </w:p>
    <w:p w:rsidR="00AF5FD3" w:rsidRDefault="00AF5FD3" w:rsidP="0080706F">
      <w:pPr>
        <w:rPr>
          <w:rFonts w:ascii="Open Sans" w:hAnsi="Open Sans" w:cs="Open Sans"/>
        </w:rPr>
      </w:pPr>
    </w:p>
    <w:p w:rsidR="00456560" w:rsidRDefault="00456560" w:rsidP="0080706F">
      <w:pPr>
        <w:rPr>
          <w:rFonts w:ascii="Open Sans" w:hAnsi="Open Sans" w:cs="Open Sans"/>
        </w:rPr>
      </w:pPr>
    </w:p>
    <w:p w:rsidR="00456560" w:rsidRDefault="00456560" w:rsidP="0080706F">
      <w:pPr>
        <w:rPr>
          <w:rFonts w:ascii="Open Sans" w:hAnsi="Open Sans" w:cs="Open Sans"/>
        </w:rPr>
      </w:pPr>
    </w:p>
    <w:p w:rsidR="00456560" w:rsidRDefault="00456560" w:rsidP="0080706F">
      <w:pPr>
        <w:rPr>
          <w:rFonts w:ascii="Open Sans" w:hAnsi="Open Sans" w:cs="Open Sans"/>
        </w:rPr>
      </w:pPr>
    </w:p>
    <w:p w:rsidR="00456560" w:rsidRDefault="00456560" w:rsidP="0080706F">
      <w:pPr>
        <w:rPr>
          <w:rFonts w:ascii="Open Sans" w:hAnsi="Open Sans" w:cs="Open Sans"/>
        </w:rPr>
      </w:pPr>
    </w:p>
    <w:p w:rsidR="0007024B" w:rsidRDefault="0007024B" w:rsidP="0080706F">
      <w:pPr>
        <w:rPr>
          <w:rFonts w:ascii="Open Sans" w:hAnsi="Open Sans" w:cs="Open Sans"/>
        </w:rPr>
        <w:sectPr w:rsidR="0007024B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Open Sans" w:hAnsi="Open Sans" w:cs="Open Sans"/>
        </w:rPr>
        <w:br w:type="page"/>
      </w:r>
    </w:p>
    <w:p w:rsidR="00456560" w:rsidRPr="003312CA" w:rsidRDefault="0007024B" w:rsidP="00456560">
      <w:pPr>
        <w:pStyle w:val="Prrafodelista"/>
        <w:numPr>
          <w:ilvl w:val="0"/>
          <w:numId w:val="4"/>
        </w:numPr>
        <w:rPr>
          <w:rFonts w:ascii="Open Sans" w:hAnsi="Open Sans" w:cs="Open Sans"/>
        </w:rPr>
      </w:pPr>
      <w:r>
        <w:rPr>
          <w:rFonts w:ascii="Open Sans" w:hAnsi="Open Sans" w:cs="Open Sans"/>
          <w:b/>
          <w:i/>
          <w:u w:val="single"/>
        </w:rPr>
        <w:lastRenderedPageBreak/>
        <w:t>Ubicación de mujeres víctimas en Bogotá</w:t>
      </w:r>
    </w:p>
    <w:p w:rsidR="003312CA" w:rsidRPr="003312CA" w:rsidRDefault="003312CA" w:rsidP="003312CA">
      <w:pPr>
        <w:ind w:left="142"/>
        <w:rPr>
          <w:rFonts w:ascii="Open Sans" w:hAnsi="Open Sans" w:cs="Open Sans"/>
          <w:b/>
          <w:i/>
          <w:u w:val="single"/>
        </w:rPr>
      </w:pPr>
      <w:r w:rsidRPr="003312CA">
        <w:rPr>
          <w:rFonts w:ascii="Open Sans" w:hAnsi="Open Sans" w:cs="Open Sans"/>
          <w:sz w:val="20"/>
          <w:szCs w:val="20"/>
          <w:lang w:val="es-ES_tradnl" w:eastAsia="zh-CN"/>
        </w:rPr>
        <w:t>Las localidades con mayor número de niñas y adolescentes víctimas residentes en su territorio son Bosa (2.832), Ciudad Bolívar (2.817), Kennedy (2.521) y Suba (1.447)</w:t>
      </w:r>
    </w:p>
    <w:p w:rsidR="0007024B" w:rsidRPr="0007024B" w:rsidRDefault="0007024B" w:rsidP="0007024B">
      <w:pPr>
        <w:pStyle w:val="TtuloTabla"/>
        <w:ind w:left="502"/>
        <w:rPr>
          <w:rFonts w:ascii="Open Sans" w:hAnsi="Open Sans" w:cs="Open Sans"/>
          <w:sz w:val="18"/>
        </w:rPr>
      </w:pPr>
      <w:r>
        <w:rPr>
          <w:rFonts w:ascii="Open Sans" w:hAnsi="Open Sans" w:cs="Open Sans"/>
          <w:sz w:val="18"/>
        </w:rPr>
        <w:t>Tabla 3. Mujeres v</w:t>
      </w:r>
      <w:r w:rsidRPr="00B971E8">
        <w:rPr>
          <w:rFonts w:ascii="Open Sans" w:hAnsi="Open Sans" w:cs="Open Sans"/>
          <w:sz w:val="18"/>
        </w:rPr>
        <w:t>íctimas r</w:t>
      </w:r>
      <w:r>
        <w:rPr>
          <w:rFonts w:ascii="Open Sans" w:hAnsi="Open Sans" w:cs="Open Sans"/>
          <w:sz w:val="18"/>
        </w:rPr>
        <w:t>esidentes en Bogotá caracterizadas en SIVIC</w:t>
      </w:r>
      <w:r w:rsidR="00C32F02">
        <w:rPr>
          <w:rFonts w:ascii="Open Sans" w:hAnsi="Open Sans" w:cs="Open Sans"/>
          <w:sz w:val="18"/>
        </w:rPr>
        <w:t xml:space="preserve"> e incluidas en el RUV</w:t>
      </w:r>
      <w:r>
        <w:rPr>
          <w:rFonts w:ascii="Open Sans" w:hAnsi="Open Sans" w:cs="Open Sans"/>
          <w:sz w:val="18"/>
        </w:rPr>
        <w:t xml:space="preserve">, por ciclo vital y localidad de </w:t>
      </w:r>
      <w:r w:rsidR="00C32F02">
        <w:rPr>
          <w:rFonts w:ascii="Open Sans" w:hAnsi="Open Sans" w:cs="Open Sans"/>
          <w:sz w:val="18"/>
        </w:rPr>
        <w:t>ubicación</w:t>
      </w:r>
    </w:p>
    <w:tbl>
      <w:tblPr>
        <w:tblpPr w:leftFromText="141" w:rightFromText="141" w:vertAnchor="text" w:horzAnchor="margin" w:tblpY="132"/>
        <w:tblW w:w="506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8"/>
        <w:gridCol w:w="884"/>
        <w:gridCol w:w="879"/>
        <w:gridCol w:w="1216"/>
        <w:gridCol w:w="884"/>
        <w:gridCol w:w="884"/>
        <w:gridCol w:w="887"/>
        <w:gridCol w:w="705"/>
        <w:gridCol w:w="1076"/>
        <w:gridCol w:w="1334"/>
        <w:gridCol w:w="1379"/>
        <w:gridCol w:w="1531"/>
      </w:tblGrid>
      <w:tr w:rsidR="0007024B" w:rsidRPr="0007024B" w:rsidTr="0007024B">
        <w:trPr>
          <w:trHeight w:val="1331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es-CO"/>
              </w:rPr>
              <w:t>Localidad de ubicación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es-CO"/>
              </w:rPr>
              <w:t>A. Primera Infancia (0 a 5 años)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es-CO"/>
              </w:rPr>
              <w:t>B. Niños y niñas (6 a 12 años)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es-CO"/>
              </w:rPr>
              <w:t>C. Adolescentes (13 a 17 años)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es-CO"/>
              </w:rPr>
              <w:t>D. Adultos Jóvenes (18 - 28 años)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es-CO"/>
              </w:rPr>
              <w:t>E. Adultos (29 a 59 años)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es-CO"/>
              </w:rPr>
              <w:t>F. Adultos mayores (desde 60 años)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es-CO"/>
              </w:rPr>
              <w:t xml:space="preserve">Sin </w:t>
            </w:r>
            <w:proofErr w:type="spellStart"/>
            <w:r w:rsidRPr="0007024B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es-CO"/>
              </w:rPr>
              <w:t>Info</w:t>
            </w:r>
            <w:proofErr w:type="spellEnd"/>
            <w:r w:rsidRPr="0007024B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es-CO"/>
              </w:rPr>
              <w:t>.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es-CO"/>
              </w:rPr>
              <w:t>Total mujeres víctimas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es-CO"/>
              </w:rPr>
              <w:t>Total niñas y adolescentes (Columnas A,B y C)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es-CO"/>
              </w:rPr>
              <w:t>Total víctimas residentes (</w:t>
            </w:r>
            <w:r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es-CO"/>
              </w:rPr>
              <w:t>i)</w:t>
            </w:r>
            <w:r w:rsidRPr="0007024B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b/>
                <w:bCs/>
                <w:color w:val="FFFFFF"/>
                <w:sz w:val="16"/>
                <w:szCs w:val="16"/>
                <w:lang w:eastAsia="es-CO"/>
              </w:rPr>
              <w:t xml:space="preserve">Porcentaje de niñas y adolescentes sobre total de víctimas de su localidad </w:t>
            </w:r>
          </w:p>
        </w:tc>
      </w:tr>
      <w:tr w:rsidR="0007024B" w:rsidRPr="0007024B" w:rsidTr="0007024B">
        <w:trPr>
          <w:trHeight w:val="190"/>
        </w:trPr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Bosa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442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1.199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1.191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2.908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7.565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1.137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319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14.761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2.832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25.516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11,10%</w:t>
            </w:r>
          </w:p>
        </w:tc>
      </w:tr>
      <w:tr w:rsidR="0007024B" w:rsidRPr="0007024B" w:rsidTr="0007024B">
        <w:trPr>
          <w:trHeight w:val="190"/>
        </w:trPr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Ciudad Bolívar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307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1.113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1.397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3.272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8.238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1.184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151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15.662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2.817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27.443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10,26%</w:t>
            </w:r>
          </w:p>
        </w:tc>
      </w:tr>
      <w:tr w:rsidR="0007024B" w:rsidRPr="0007024B" w:rsidTr="0007024B">
        <w:trPr>
          <w:trHeight w:val="190"/>
        </w:trPr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Kennedy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442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1.070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1.009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2.573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6.815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1.128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460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13.497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2.521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23.441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10,75%</w:t>
            </w:r>
          </w:p>
        </w:tc>
      </w:tr>
      <w:tr w:rsidR="0007024B" w:rsidRPr="0007024B" w:rsidTr="0007024B">
        <w:trPr>
          <w:trHeight w:val="190"/>
        </w:trPr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Sin Información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215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598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696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2.082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5.429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893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89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10.002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1.509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18.140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8,32%</w:t>
            </w:r>
          </w:p>
        </w:tc>
      </w:tr>
      <w:tr w:rsidR="0007024B" w:rsidRPr="0007024B" w:rsidTr="0007024B">
        <w:trPr>
          <w:trHeight w:val="190"/>
        </w:trPr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Suba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151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618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678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1.689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5.206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708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70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9.120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1.447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15.410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9,39%</w:t>
            </w:r>
          </w:p>
        </w:tc>
      </w:tr>
      <w:tr w:rsidR="0007024B" w:rsidRPr="0007024B" w:rsidTr="0007024B">
        <w:trPr>
          <w:trHeight w:val="190"/>
        </w:trPr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Usme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137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464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658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1.274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3.554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531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75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6.693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1.259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11.589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10,86%</w:t>
            </w:r>
          </w:p>
        </w:tc>
      </w:tr>
      <w:tr w:rsidR="0007024B" w:rsidRPr="0007024B" w:rsidTr="0007024B">
        <w:trPr>
          <w:trHeight w:val="190"/>
        </w:trPr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San Cristóbal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151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509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572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1.277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3.537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506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55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6.607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1.232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11.596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10,62%</w:t>
            </w:r>
          </w:p>
        </w:tc>
      </w:tr>
      <w:tr w:rsidR="0007024B" w:rsidRPr="0007024B" w:rsidTr="0007024B">
        <w:trPr>
          <w:trHeight w:val="190"/>
        </w:trPr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 xml:space="preserve">Rafael Uribe </w:t>
            </w:r>
            <w:proofErr w:type="spellStart"/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Uribe</w:t>
            </w:r>
            <w:proofErr w:type="spellEnd"/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107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341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405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1.028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2.901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418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49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5.249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853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9.211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9,26%</w:t>
            </w:r>
          </w:p>
        </w:tc>
      </w:tr>
      <w:tr w:rsidR="0007024B" w:rsidRPr="0007024B" w:rsidTr="0007024B">
        <w:trPr>
          <w:trHeight w:val="190"/>
        </w:trPr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Engativá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63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239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265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708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2.235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382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28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3.920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567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6.627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8,56%</w:t>
            </w:r>
          </w:p>
        </w:tc>
      </w:tr>
      <w:tr w:rsidR="0007024B" w:rsidRPr="0007024B" w:rsidTr="0007024B">
        <w:trPr>
          <w:trHeight w:val="190"/>
        </w:trPr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Usaquén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70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196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179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481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1.409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218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2.569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445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4.238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10,50%</w:t>
            </w:r>
          </w:p>
        </w:tc>
      </w:tr>
      <w:tr w:rsidR="0007024B" w:rsidRPr="0007024B" w:rsidTr="0007024B">
        <w:trPr>
          <w:trHeight w:val="190"/>
        </w:trPr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Tunjuelito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43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137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188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516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1.312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186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32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2.414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368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4.258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8,64%</w:t>
            </w:r>
          </w:p>
        </w:tc>
      </w:tr>
      <w:tr w:rsidR="0007024B" w:rsidRPr="0007024B" w:rsidTr="0007024B">
        <w:trPr>
          <w:trHeight w:val="190"/>
        </w:trPr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Los Mártires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131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136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376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950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130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1.783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308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3.475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8,86%</w:t>
            </w:r>
          </w:p>
        </w:tc>
      </w:tr>
      <w:tr w:rsidR="0007024B" w:rsidRPr="0007024B" w:rsidTr="0007024B">
        <w:trPr>
          <w:trHeight w:val="190"/>
        </w:trPr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Fontibón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45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111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139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326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982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137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18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1.758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295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3.173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9,30%</w:t>
            </w:r>
          </w:p>
        </w:tc>
      </w:tr>
      <w:tr w:rsidR="0007024B" w:rsidRPr="0007024B" w:rsidTr="0007024B">
        <w:trPr>
          <w:trHeight w:val="190"/>
        </w:trPr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Santa Fe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34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101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98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234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657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97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1.229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233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2.383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9,78%</w:t>
            </w:r>
          </w:p>
        </w:tc>
      </w:tr>
      <w:tr w:rsidR="0007024B" w:rsidRPr="0007024B" w:rsidTr="0007024B">
        <w:trPr>
          <w:trHeight w:val="190"/>
        </w:trPr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Puente Aranda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30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90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102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264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831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174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21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1.512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222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2.632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8,43%</w:t>
            </w:r>
          </w:p>
        </w:tc>
      </w:tr>
      <w:tr w:rsidR="0007024B" w:rsidRPr="0007024B" w:rsidTr="0007024B">
        <w:trPr>
          <w:trHeight w:val="190"/>
        </w:trPr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Antonio Nariño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56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71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210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455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79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900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145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1.575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9,21%</w:t>
            </w:r>
          </w:p>
        </w:tc>
      </w:tr>
      <w:tr w:rsidR="0007024B" w:rsidRPr="0007024B" w:rsidTr="0007024B">
        <w:trPr>
          <w:trHeight w:val="190"/>
        </w:trPr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Chapinero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51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49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136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398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52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711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117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1.443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8,11%</w:t>
            </w:r>
          </w:p>
        </w:tc>
      </w:tr>
      <w:tr w:rsidR="0007024B" w:rsidRPr="0007024B" w:rsidTr="0007024B">
        <w:trPr>
          <w:trHeight w:val="190"/>
        </w:trPr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Barrios Unidos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43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38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131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349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57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643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99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1.158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8,55%</w:t>
            </w:r>
          </w:p>
        </w:tc>
      </w:tr>
      <w:tr w:rsidR="0007024B" w:rsidRPr="0007024B" w:rsidTr="0007024B">
        <w:trPr>
          <w:trHeight w:val="190"/>
        </w:trPr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La Candelaria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40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38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99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251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49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498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89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975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9,13%</w:t>
            </w:r>
          </w:p>
        </w:tc>
      </w:tr>
      <w:tr w:rsidR="0007024B" w:rsidRPr="0007024B" w:rsidTr="0007024B">
        <w:trPr>
          <w:trHeight w:val="190"/>
        </w:trPr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Teusaquillo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23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31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252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45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463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59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811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7,27%</w:t>
            </w:r>
          </w:p>
        </w:tc>
      </w:tr>
      <w:tr w:rsidR="0007024B" w:rsidRPr="0007024B" w:rsidTr="0007024B">
        <w:trPr>
          <w:trHeight w:val="190"/>
        </w:trPr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Sumapaz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26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59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129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31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215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14,42%</w:t>
            </w:r>
          </w:p>
        </w:tc>
      </w:tr>
      <w:tr w:rsidR="0007024B" w:rsidRPr="0007024B" w:rsidTr="0007024B">
        <w:trPr>
          <w:trHeight w:val="190"/>
        </w:trPr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CO"/>
              </w:rPr>
              <w:t>Total mujeres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CO"/>
              </w:rPr>
              <w:t>2.349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CO"/>
              </w:rPr>
              <w:t>7.141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CO"/>
              </w:rPr>
              <w:t>7.958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CO"/>
              </w:rPr>
              <w:t>19.710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CO"/>
              </w:rPr>
              <w:t>53.385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CO"/>
              </w:rPr>
              <w:t>8.121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CO"/>
              </w:rPr>
              <w:t>1.456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CO"/>
              </w:rPr>
              <w:t>100.120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17.448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-</w:t>
            </w:r>
          </w:p>
        </w:tc>
      </w:tr>
      <w:tr w:rsidR="0007024B" w:rsidRPr="0007024B" w:rsidTr="0007024B">
        <w:trPr>
          <w:trHeight w:val="70"/>
        </w:trPr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general </w:t>
            </w:r>
            <w:r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CO"/>
              </w:rPr>
              <w:t>(i)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CO"/>
              </w:rPr>
              <w:t>4.870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CO"/>
              </w:rPr>
              <w:t>14.506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CO"/>
              </w:rPr>
              <w:t>16.045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CO"/>
              </w:rPr>
              <w:t>35.346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CO"/>
              </w:rPr>
              <w:t>85.962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CO"/>
              </w:rPr>
              <w:t>15.898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CO"/>
              </w:rPr>
              <w:t>2.671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CO"/>
              </w:rPr>
              <w:t>175.309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35.421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-</w:t>
            </w:r>
          </w:p>
        </w:tc>
      </w:tr>
      <w:tr w:rsidR="0007024B" w:rsidRPr="0007024B" w:rsidTr="0007024B">
        <w:trPr>
          <w:trHeight w:val="761"/>
        </w:trPr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 xml:space="preserve">Porcentaje de mujeres </w:t>
            </w:r>
            <w:r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/</w:t>
            </w: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 xml:space="preserve"> total de </w:t>
            </w:r>
            <w:r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víctimas</w:t>
            </w: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 xml:space="preserve"> del grupo etario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48,23%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49,23%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49,60%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55,76%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62,10%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51,08%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54,51%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57,11%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49,26%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4B" w:rsidRPr="0007024B" w:rsidRDefault="0007024B" w:rsidP="0007024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07024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-</w:t>
            </w:r>
          </w:p>
        </w:tc>
      </w:tr>
    </w:tbl>
    <w:p w:rsidR="0007024B" w:rsidRPr="0007024B" w:rsidRDefault="0007024B" w:rsidP="0007024B">
      <w:pPr>
        <w:pStyle w:val="Prrafodelista"/>
        <w:ind w:left="502"/>
        <w:rPr>
          <w:rFonts w:ascii="Open Sans" w:hAnsi="Open Sans" w:cs="Open Sans"/>
          <w:i/>
          <w:color w:val="3B3838" w:themeColor="background2" w:themeShade="40"/>
          <w:sz w:val="16"/>
        </w:rPr>
        <w:sectPr w:rsidR="0007024B" w:rsidRPr="0007024B" w:rsidSect="00E14636">
          <w:pgSz w:w="15840" w:h="12240" w:orient="landscape"/>
          <w:pgMar w:top="709" w:right="1417" w:bottom="709" w:left="1417" w:header="708" w:footer="708" w:gutter="0"/>
          <w:cols w:space="708"/>
          <w:docGrid w:linePitch="360"/>
        </w:sectPr>
      </w:pPr>
      <w:r>
        <w:rPr>
          <w:rFonts w:ascii="Open Sans" w:hAnsi="Open Sans" w:cs="Open Sans"/>
          <w:i/>
          <w:color w:val="3B3838" w:themeColor="background2" w:themeShade="40"/>
          <w:sz w:val="16"/>
        </w:rPr>
        <w:t xml:space="preserve">Fuente: </w:t>
      </w:r>
      <w:r w:rsidRPr="0007024B">
        <w:rPr>
          <w:rFonts w:ascii="Open Sans" w:hAnsi="Open Sans" w:cs="Open Sans"/>
          <w:i/>
          <w:color w:val="3B3838" w:themeColor="background2" w:themeShade="40"/>
          <w:sz w:val="16"/>
        </w:rPr>
        <w:t>ACDVPR - SIVIC, 1 septiembre 2010 – 1 de abril 2018.</w:t>
      </w:r>
      <w:r>
        <w:rPr>
          <w:rFonts w:ascii="Open Sans" w:hAnsi="Open Sans" w:cs="Open Sans"/>
          <w:i/>
          <w:color w:val="3B3838" w:themeColor="background2" w:themeShade="40"/>
          <w:sz w:val="16"/>
        </w:rPr>
        <w:t xml:space="preserve"> </w:t>
      </w:r>
      <w:r w:rsidRPr="0007024B">
        <w:rPr>
          <w:rFonts w:ascii="Open Sans" w:hAnsi="Open Sans" w:cs="Open Sans"/>
          <w:i/>
          <w:color w:val="3B3838" w:themeColor="background2" w:themeShade="40"/>
          <w:sz w:val="16"/>
        </w:rPr>
        <w:t>Nota: (i) Total general y Total Víctimas Residentes incluye mujeres, hombres, intersexuales y sin información sobre sexo.</w:t>
      </w:r>
      <w:r w:rsidR="00E14636">
        <w:rPr>
          <w:rFonts w:ascii="Open Sans" w:hAnsi="Open Sans" w:cs="Open Sans"/>
          <w:i/>
          <w:color w:val="3B3838" w:themeColor="background2" w:themeShade="40"/>
          <w:sz w:val="16"/>
        </w:rPr>
        <w:t xml:space="preserve"> </w:t>
      </w:r>
      <w:r w:rsidR="00693961">
        <w:rPr>
          <w:rFonts w:ascii="Open Sans" w:hAnsi="Open Sans" w:cs="Open Sans"/>
          <w:i/>
          <w:color w:val="3B3838" w:themeColor="background2" w:themeShade="40"/>
          <w:sz w:val="16"/>
        </w:rPr>
        <w:t xml:space="preserve">(ii) </w:t>
      </w:r>
      <w:r w:rsidR="00E14636" w:rsidRPr="00E14636">
        <w:rPr>
          <w:rFonts w:ascii="Open Sans" w:hAnsi="Open Sans" w:cs="Open Sans"/>
          <w:i/>
          <w:color w:val="3B3838" w:themeColor="background2" w:themeShade="40"/>
          <w:sz w:val="16"/>
        </w:rPr>
        <w:t>175.309 víctimas residentes en Bogotá están caracterizadas en el SIVIC e incluidas en el RUV</w:t>
      </w:r>
      <w:r w:rsidR="00EB7829">
        <w:rPr>
          <w:rFonts w:ascii="Open Sans" w:hAnsi="Open Sans" w:cs="Open Sans"/>
          <w:i/>
          <w:color w:val="3B3838" w:themeColor="background2" w:themeShade="40"/>
          <w:sz w:val="16"/>
        </w:rPr>
        <w:t>, l</w:t>
      </w:r>
      <w:r w:rsidR="00E14636" w:rsidRPr="00E14636">
        <w:rPr>
          <w:rFonts w:ascii="Open Sans" w:hAnsi="Open Sans" w:cs="Open Sans"/>
          <w:i/>
          <w:color w:val="3B3838" w:themeColor="background2" w:themeShade="40"/>
          <w:sz w:val="16"/>
        </w:rPr>
        <w:t>o que equivale al 49,89% de las 351.336 víctimas residentes en Bogotá. Esto sucede porque no todas las víctimas residentes en Bogotá se acercan a los Centros Locales de Atención a Víctimas (</w:t>
      </w:r>
      <w:proofErr w:type="spellStart"/>
      <w:r w:rsidR="00E14636" w:rsidRPr="00E14636">
        <w:rPr>
          <w:rFonts w:ascii="Open Sans" w:hAnsi="Open Sans" w:cs="Open Sans"/>
          <w:i/>
          <w:color w:val="3B3838" w:themeColor="background2" w:themeShade="40"/>
          <w:sz w:val="16"/>
        </w:rPr>
        <w:t>CLAVs</w:t>
      </w:r>
      <w:proofErr w:type="spellEnd"/>
      <w:r w:rsidR="00E14636" w:rsidRPr="00E14636">
        <w:rPr>
          <w:rFonts w:ascii="Open Sans" w:hAnsi="Open Sans" w:cs="Open Sans"/>
          <w:i/>
          <w:color w:val="3B3838" w:themeColor="background2" w:themeShade="40"/>
          <w:sz w:val="16"/>
        </w:rPr>
        <w:t xml:space="preserve">) a solicitar servicios o ayuda humanitaria, por tanto, no todas las víctimas residentes en Bogotá según la UARIV, aparecen caracterizadas en el Sistema de Información de Víctimas de Bogotá (SIVIC).  </w:t>
      </w:r>
    </w:p>
    <w:p w:rsidR="00E14636" w:rsidRPr="00E14636" w:rsidRDefault="00E14636" w:rsidP="00E14636">
      <w:pPr>
        <w:pStyle w:val="Prrafodelista"/>
        <w:numPr>
          <w:ilvl w:val="0"/>
          <w:numId w:val="4"/>
        </w:numPr>
        <w:rPr>
          <w:rFonts w:ascii="Open Sans" w:hAnsi="Open Sans" w:cs="Open Sans"/>
        </w:rPr>
      </w:pPr>
      <w:r>
        <w:rPr>
          <w:rFonts w:ascii="Open Sans" w:hAnsi="Open Sans" w:cs="Open Sans"/>
          <w:b/>
          <w:i/>
          <w:u w:val="single"/>
        </w:rPr>
        <w:lastRenderedPageBreak/>
        <w:t xml:space="preserve">Matrícula en colegios distritales: las niñas y adolescentes son 49,6% del total </w:t>
      </w:r>
    </w:p>
    <w:p w:rsidR="00E14636" w:rsidRPr="003312CA" w:rsidRDefault="00E14636" w:rsidP="00E14636">
      <w:pPr>
        <w:pStyle w:val="Prrafodelista"/>
        <w:ind w:left="502"/>
        <w:rPr>
          <w:rFonts w:ascii="Open Sans" w:hAnsi="Open Sans" w:cs="Open Sans"/>
        </w:rPr>
      </w:pPr>
    </w:p>
    <w:p w:rsidR="0088322B" w:rsidRPr="00E14636" w:rsidRDefault="00E14636" w:rsidP="00E14636">
      <w:pPr>
        <w:pStyle w:val="Prrafodelista"/>
        <w:numPr>
          <w:ilvl w:val="0"/>
          <w:numId w:val="8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2017 cerró con 32.450 niñas y adolescentes matriculadas en instituciones de educación preescolar, básica y media de nivel distrital. </w:t>
      </w:r>
    </w:p>
    <w:p w:rsidR="003D4C86" w:rsidRPr="00E14636" w:rsidRDefault="00E14636" w:rsidP="00E14636">
      <w:pPr>
        <w:jc w:val="center"/>
        <w:rPr>
          <w:rFonts w:ascii="Open Sans" w:hAnsi="Open Sans" w:cs="Open Sans"/>
          <w:b/>
          <w:sz w:val="18"/>
        </w:rPr>
      </w:pPr>
      <w:r w:rsidRPr="00E14636">
        <w:rPr>
          <w:rFonts w:ascii="Open Sans" w:hAnsi="Open Sans" w:cs="Open Sans"/>
          <w:b/>
          <w:sz w:val="18"/>
        </w:rPr>
        <w:t xml:space="preserve">Tabla 4. </w:t>
      </w:r>
      <w:r w:rsidR="00675320" w:rsidRPr="00E14636">
        <w:rPr>
          <w:rFonts w:ascii="Open Sans" w:hAnsi="Open Sans" w:cs="Open Sans"/>
          <w:b/>
          <w:sz w:val="18"/>
        </w:rPr>
        <w:t xml:space="preserve">Matrícula en colegio: niñas vs. </w:t>
      </w:r>
      <w:r w:rsidR="0088322B" w:rsidRPr="00E14636">
        <w:rPr>
          <w:rFonts w:ascii="Open Sans" w:hAnsi="Open Sans" w:cs="Open Sans"/>
          <w:b/>
          <w:sz w:val="18"/>
        </w:rPr>
        <w:t>N</w:t>
      </w:r>
      <w:r w:rsidR="00675320" w:rsidRPr="00E14636">
        <w:rPr>
          <w:rFonts w:ascii="Open Sans" w:hAnsi="Open Sans" w:cs="Open Sans"/>
          <w:b/>
          <w:sz w:val="18"/>
        </w:rPr>
        <w:t>iños</w:t>
      </w:r>
    </w:p>
    <w:tbl>
      <w:tblPr>
        <w:tblpPr w:leftFromText="141" w:rightFromText="141" w:vertAnchor="text" w:horzAnchor="margin" w:tblpXSpec="center" w:tblpY="13"/>
        <w:tblW w:w="3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</w:tblGrid>
      <w:tr w:rsidR="00E14636" w:rsidRPr="0088322B" w:rsidTr="004E7C9D">
        <w:trPr>
          <w:trHeight w:val="360"/>
        </w:trPr>
        <w:tc>
          <w:tcPr>
            <w:tcW w:w="1200" w:type="dxa"/>
            <w:shd w:val="clear" w:color="auto" w:fill="00B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636" w:rsidRPr="0088322B" w:rsidRDefault="00E14636" w:rsidP="00E1463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 w:rsidRPr="0088322B"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Hombre</w:t>
            </w:r>
          </w:p>
        </w:tc>
        <w:tc>
          <w:tcPr>
            <w:tcW w:w="1200" w:type="dxa"/>
            <w:shd w:val="clear" w:color="auto" w:fill="00B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636" w:rsidRPr="0088322B" w:rsidRDefault="00E14636" w:rsidP="00E1463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 w:rsidRPr="0088322B"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Mujer</w:t>
            </w:r>
          </w:p>
        </w:tc>
        <w:tc>
          <w:tcPr>
            <w:tcW w:w="1200" w:type="dxa"/>
            <w:shd w:val="clear" w:color="auto" w:fill="00B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636" w:rsidRPr="0088322B" w:rsidRDefault="00E14636" w:rsidP="00E1463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 w:rsidRPr="0088322B"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</w:t>
            </w:r>
          </w:p>
        </w:tc>
      </w:tr>
      <w:tr w:rsidR="00E14636" w:rsidRPr="0088322B" w:rsidTr="00E14636">
        <w:trPr>
          <w:trHeight w:val="360"/>
        </w:trPr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636" w:rsidRPr="0088322B" w:rsidRDefault="00E14636" w:rsidP="00E1463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88322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           32.917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4636" w:rsidRPr="0088322B" w:rsidRDefault="00E14636" w:rsidP="00E14636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88322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           32.450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4636" w:rsidRPr="0088322B" w:rsidRDefault="00E14636" w:rsidP="00E14636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8322B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es-CO"/>
              </w:rPr>
              <w:t>           65.367</w:t>
            </w:r>
          </w:p>
        </w:tc>
      </w:tr>
      <w:tr w:rsidR="00E14636" w:rsidRPr="0088322B" w:rsidTr="00E14636">
        <w:trPr>
          <w:trHeight w:val="330"/>
        </w:trPr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4636" w:rsidRPr="0088322B" w:rsidRDefault="00E14636" w:rsidP="00E1463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88322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50,4%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4636" w:rsidRPr="0088322B" w:rsidRDefault="00E14636" w:rsidP="00E1463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88322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49,6%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4636" w:rsidRPr="0088322B" w:rsidRDefault="00E14636" w:rsidP="00E14636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88322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100,0%</w:t>
            </w:r>
          </w:p>
        </w:tc>
      </w:tr>
    </w:tbl>
    <w:p w:rsidR="0088322B" w:rsidRPr="0088322B" w:rsidRDefault="0088322B" w:rsidP="00E14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E14636" w:rsidRDefault="00E14636" w:rsidP="00E14636">
      <w:pPr>
        <w:jc w:val="center"/>
        <w:rPr>
          <w:rFonts w:ascii="Open Sans" w:hAnsi="Open Sans" w:cs="Open Sans"/>
          <w:i/>
          <w:color w:val="3B3838" w:themeColor="background2" w:themeShade="40"/>
          <w:sz w:val="16"/>
        </w:rPr>
      </w:pPr>
    </w:p>
    <w:p w:rsidR="00E14636" w:rsidRDefault="00E14636" w:rsidP="00E14636">
      <w:pPr>
        <w:jc w:val="center"/>
        <w:rPr>
          <w:rFonts w:ascii="Open Sans" w:hAnsi="Open Sans" w:cs="Open Sans"/>
          <w:i/>
          <w:color w:val="3B3838" w:themeColor="background2" w:themeShade="40"/>
          <w:sz w:val="16"/>
        </w:rPr>
      </w:pPr>
    </w:p>
    <w:p w:rsidR="00E14636" w:rsidRDefault="00E14636" w:rsidP="00E14636">
      <w:pPr>
        <w:jc w:val="center"/>
        <w:rPr>
          <w:rFonts w:ascii="Open Sans" w:hAnsi="Open Sans" w:cs="Open Sans"/>
          <w:i/>
          <w:color w:val="3B3838" w:themeColor="background2" w:themeShade="40"/>
          <w:sz w:val="16"/>
        </w:rPr>
      </w:pPr>
    </w:p>
    <w:p w:rsidR="0088322B" w:rsidRPr="00E14636" w:rsidRDefault="00E14636" w:rsidP="00E14636">
      <w:pPr>
        <w:jc w:val="center"/>
        <w:rPr>
          <w:rFonts w:ascii="Open Sans" w:hAnsi="Open Sans" w:cs="Open Sans"/>
          <w:i/>
          <w:color w:val="3B3838" w:themeColor="background2" w:themeShade="40"/>
          <w:sz w:val="16"/>
        </w:rPr>
      </w:pPr>
      <w:r w:rsidRPr="00E14636">
        <w:rPr>
          <w:rFonts w:ascii="Open Sans" w:hAnsi="Open Sans" w:cs="Open Sans"/>
          <w:i/>
          <w:color w:val="3B3838" w:themeColor="background2" w:themeShade="40"/>
          <w:sz w:val="16"/>
        </w:rPr>
        <w:t xml:space="preserve">Fuente: </w:t>
      </w:r>
      <w:r>
        <w:rPr>
          <w:rFonts w:ascii="Open Sans" w:hAnsi="Open Sans" w:cs="Open Sans"/>
          <w:i/>
          <w:color w:val="3B3838" w:themeColor="background2" w:themeShade="40"/>
          <w:sz w:val="16"/>
        </w:rPr>
        <w:t xml:space="preserve">SED, </w:t>
      </w:r>
      <w:r w:rsidRPr="00E14636">
        <w:rPr>
          <w:rFonts w:ascii="Open Sans" w:hAnsi="Open Sans" w:cs="Open Sans"/>
          <w:i/>
          <w:color w:val="3B3838" w:themeColor="background2" w:themeShade="40"/>
          <w:sz w:val="16"/>
        </w:rPr>
        <w:t>Seguimiento al PAD, a 31 de diciembre de 2017</w:t>
      </w:r>
    </w:p>
    <w:p w:rsidR="00E14636" w:rsidRPr="00E14636" w:rsidRDefault="00E14636" w:rsidP="00E14636">
      <w:pPr>
        <w:pStyle w:val="Prrafodelista"/>
        <w:numPr>
          <w:ilvl w:val="0"/>
          <w:numId w:val="4"/>
        </w:numPr>
        <w:ind w:left="284"/>
        <w:rPr>
          <w:rFonts w:ascii="Open Sans" w:hAnsi="Open Sans" w:cs="Open Sans"/>
        </w:rPr>
      </w:pPr>
      <w:r w:rsidRPr="00E14636">
        <w:rPr>
          <w:rFonts w:ascii="Open Sans" w:hAnsi="Open Sans" w:cs="Open Sans"/>
          <w:b/>
          <w:i/>
          <w:u w:val="single"/>
        </w:rPr>
        <w:t>Atendidas Estrategia ‘</w:t>
      </w:r>
      <w:proofErr w:type="spellStart"/>
      <w:r w:rsidRPr="00E14636">
        <w:rPr>
          <w:rFonts w:ascii="Open Sans" w:hAnsi="Open Sans" w:cs="Open Sans"/>
          <w:b/>
          <w:i/>
          <w:u w:val="single"/>
        </w:rPr>
        <w:t>Atrapasueños</w:t>
      </w:r>
      <w:proofErr w:type="spellEnd"/>
      <w:r w:rsidRPr="00E14636">
        <w:rPr>
          <w:rFonts w:ascii="Open Sans" w:hAnsi="Open Sans" w:cs="Open Sans"/>
          <w:b/>
          <w:i/>
          <w:u w:val="single"/>
        </w:rPr>
        <w:t>’</w:t>
      </w:r>
      <w:r w:rsidRPr="00E14636">
        <w:rPr>
          <w:rFonts w:ascii="Open Sans" w:hAnsi="Open Sans" w:cs="Open Sans"/>
          <w:b/>
          <w:i/>
          <w:u w:val="single"/>
        </w:rPr>
        <w:t>:</w:t>
      </w:r>
      <w:r>
        <w:rPr>
          <w:rFonts w:ascii="Open Sans" w:hAnsi="Open Sans" w:cs="Open Sans"/>
          <w:b/>
          <w:i/>
          <w:u w:val="single"/>
        </w:rPr>
        <w:t xml:space="preserve"> las niñas y adolescentes son 52,1</w:t>
      </w:r>
      <w:r w:rsidRPr="00E14636">
        <w:rPr>
          <w:rFonts w:ascii="Open Sans" w:hAnsi="Open Sans" w:cs="Open Sans"/>
          <w:b/>
          <w:i/>
          <w:u w:val="single"/>
        </w:rPr>
        <w:t xml:space="preserve">% del total </w:t>
      </w:r>
    </w:p>
    <w:p w:rsidR="00E14636" w:rsidRDefault="00E14636" w:rsidP="008832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</w:p>
    <w:p w:rsidR="0088322B" w:rsidRPr="00E14636" w:rsidRDefault="00E14636" w:rsidP="00AE6260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Se han atendido 1.376 niñas y adolescentes, s</w:t>
      </w:r>
      <w:r w:rsidRPr="00E14636">
        <w:rPr>
          <w:rFonts w:ascii="Open Sans" w:hAnsi="Open Sans" w:cs="Open Sans"/>
        </w:rPr>
        <w:t>egún el I</w:t>
      </w:r>
      <w:r w:rsidR="0088322B" w:rsidRPr="00E14636">
        <w:rPr>
          <w:rFonts w:ascii="Open Sans" w:hAnsi="Open Sans" w:cs="Open Sans"/>
        </w:rPr>
        <w:t>ndicador</w:t>
      </w:r>
      <w:r w:rsidRPr="00E14636">
        <w:rPr>
          <w:rFonts w:ascii="Open Sans" w:hAnsi="Open Sans" w:cs="Open Sans"/>
        </w:rPr>
        <w:t xml:space="preserve"> PAD: </w:t>
      </w:r>
      <w:r w:rsidR="0088322B" w:rsidRPr="00E14636">
        <w:rPr>
          <w:rFonts w:ascii="Open Sans" w:hAnsi="Open Sans" w:cs="Open Sans"/>
        </w:rPr>
        <w:t xml:space="preserve">atender niños, niñas y adolescentes entre los 6 y los 18 años, en condición de vulnerabilidad y víctimas del conflicto armado, en la estrategia </w:t>
      </w:r>
      <w:proofErr w:type="spellStart"/>
      <w:r w:rsidR="0088322B" w:rsidRPr="00E14636">
        <w:rPr>
          <w:rFonts w:ascii="Open Sans" w:hAnsi="Open Sans" w:cs="Open Sans"/>
        </w:rPr>
        <w:t>Atrapasueños</w:t>
      </w:r>
      <w:proofErr w:type="spellEnd"/>
      <w:r w:rsidR="0088322B" w:rsidRPr="00E14636">
        <w:rPr>
          <w:rFonts w:ascii="Open Sans" w:hAnsi="Open Sans" w:cs="Open Sans"/>
        </w:rPr>
        <w:t>.</w:t>
      </w:r>
    </w:p>
    <w:p w:rsidR="0088322B" w:rsidRPr="0088322B" w:rsidRDefault="0088322B" w:rsidP="008832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</w:p>
    <w:p w:rsidR="0088322B" w:rsidRPr="0088322B" w:rsidRDefault="00AE6260" w:rsidP="00E14636">
      <w:pPr>
        <w:jc w:val="center"/>
        <w:rPr>
          <w:rFonts w:ascii="Open Sans" w:hAnsi="Open Sans" w:cs="Open Sans"/>
          <w:b/>
          <w:sz w:val="18"/>
        </w:rPr>
      </w:pPr>
      <w:r>
        <w:rPr>
          <w:rFonts w:ascii="Open Sans" w:hAnsi="Open Sans" w:cs="Open Sans"/>
          <w:b/>
          <w:sz w:val="18"/>
        </w:rPr>
        <w:t>Tabla 5</w:t>
      </w:r>
      <w:r w:rsidR="00E14636">
        <w:rPr>
          <w:rFonts w:ascii="Open Sans" w:hAnsi="Open Sans" w:cs="Open Sans"/>
          <w:b/>
          <w:sz w:val="18"/>
        </w:rPr>
        <w:t xml:space="preserve">. </w:t>
      </w:r>
      <w:r>
        <w:rPr>
          <w:rFonts w:ascii="Open Sans" w:hAnsi="Open Sans" w:cs="Open Sans"/>
          <w:b/>
          <w:sz w:val="18"/>
        </w:rPr>
        <w:t>Distribución por sexo de víctimas atendidas en la estrategia ‘</w:t>
      </w:r>
      <w:proofErr w:type="spellStart"/>
      <w:r>
        <w:rPr>
          <w:rFonts w:ascii="Open Sans" w:hAnsi="Open Sans" w:cs="Open Sans"/>
          <w:b/>
          <w:sz w:val="18"/>
        </w:rPr>
        <w:t>Atrapasueños</w:t>
      </w:r>
      <w:proofErr w:type="spellEnd"/>
      <w:r>
        <w:rPr>
          <w:rFonts w:ascii="Open Sans" w:hAnsi="Open Sans" w:cs="Open Sans"/>
          <w:b/>
          <w:sz w:val="18"/>
        </w:rPr>
        <w:t>’</w:t>
      </w:r>
    </w:p>
    <w:tbl>
      <w:tblPr>
        <w:tblW w:w="5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1335"/>
        <w:gridCol w:w="1356"/>
        <w:gridCol w:w="1335"/>
      </w:tblGrid>
      <w:tr w:rsidR="0088322B" w:rsidRPr="0088322B" w:rsidTr="004E7C9D">
        <w:trPr>
          <w:trHeight w:val="360"/>
          <w:jc w:val="center"/>
        </w:trPr>
        <w:tc>
          <w:tcPr>
            <w:tcW w:w="1335" w:type="dxa"/>
            <w:shd w:val="clear" w:color="auto" w:fill="00B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322B" w:rsidRPr="0088322B" w:rsidRDefault="0088322B" w:rsidP="0088322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 w:rsidRPr="0088322B"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Hombre</w:t>
            </w:r>
          </w:p>
        </w:tc>
        <w:tc>
          <w:tcPr>
            <w:tcW w:w="1335" w:type="dxa"/>
            <w:shd w:val="clear" w:color="auto" w:fill="00B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322B" w:rsidRPr="0088322B" w:rsidRDefault="0088322B" w:rsidP="0088322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 w:rsidRPr="0088322B"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Mujer</w:t>
            </w:r>
          </w:p>
        </w:tc>
        <w:tc>
          <w:tcPr>
            <w:tcW w:w="1356" w:type="dxa"/>
            <w:shd w:val="clear" w:color="auto" w:fill="00B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322B" w:rsidRPr="0088322B" w:rsidRDefault="0088322B" w:rsidP="0088322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 w:rsidRPr="0088322B"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Intersexual</w:t>
            </w:r>
          </w:p>
        </w:tc>
        <w:tc>
          <w:tcPr>
            <w:tcW w:w="1335" w:type="dxa"/>
            <w:shd w:val="clear" w:color="auto" w:fill="00B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8322B" w:rsidRPr="0088322B" w:rsidRDefault="0088322B" w:rsidP="0088322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 w:rsidRPr="0088322B"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</w:t>
            </w:r>
          </w:p>
        </w:tc>
      </w:tr>
      <w:tr w:rsidR="0088322B" w:rsidRPr="0088322B" w:rsidTr="00E14636">
        <w:trPr>
          <w:trHeight w:val="31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322B" w:rsidRPr="0088322B" w:rsidRDefault="0088322B" w:rsidP="0088322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88322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             1.264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322B" w:rsidRPr="0088322B" w:rsidRDefault="0088322B" w:rsidP="0088322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88322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             1.376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322B" w:rsidRPr="0088322B" w:rsidRDefault="0088322B" w:rsidP="0088322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88322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                     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322B" w:rsidRPr="0088322B" w:rsidRDefault="0088322B" w:rsidP="0088322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88322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             2.641</w:t>
            </w:r>
          </w:p>
        </w:tc>
      </w:tr>
      <w:tr w:rsidR="0088322B" w:rsidRPr="0088322B" w:rsidTr="00E14636">
        <w:trPr>
          <w:trHeight w:val="300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322B" w:rsidRPr="0088322B" w:rsidRDefault="0088322B" w:rsidP="0088322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88322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47,9%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322B" w:rsidRPr="0088322B" w:rsidRDefault="0088322B" w:rsidP="0088322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88322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52,1%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322B" w:rsidRPr="0088322B" w:rsidRDefault="0088322B" w:rsidP="0088322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88322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0,0%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322B" w:rsidRPr="0088322B" w:rsidRDefault="0088322B" w:rsidP="0088322B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</w:pPr>
            <w:r w:rsidRPr="0088322B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es-CO"/>
              </w:rPr>
              <w:t>100,0%</w:t>
            </w:r>
          </w:p>
        </w:tc>
      </w:tr>
    </w:tbl>
    <w:p w:rsidR="00E14636" w:rsidRPr="00E14636" w:rsidRDefault="00E14636" w:rsidP="00E14636">
      <w:pPr>
        <w:jc w:val="center"/>
        <w:rPr>
          <w:rFonts w:ascii="Open Sans" w:hAnsi="Open Sans" w:cs="Open Sans"/>
          <w:i/>
          <w:color w:val="3B3838" w:themeColor="background2" w:themeShade="40"/>
          <w:sz w:val="16"/>
        </w:rPr>
      </w:pPr>
      <w:r w:rsidRPr="00E14636">
        <w:rPr>
          <w:rFonts w:ascii="Open Sans" w:hAnsi="Open Sans" w:cs="Open Sans"/>
          <w:i/>
          <w:color w:val="3B3838" w:themeColor="background2" w:themeShade="40"/>
          <w:sz w:val="16"/>
        </w:rPr>
        <w:t xml:space="preserve">Fuente: </w:t>
      </w:r>
      <w:r>
        <w:rPr>
          <w:rFonts w:ascii="Open Sans" w:hAnsi="Open Sans" w:cs="Open Sans"/>
          <w:i/>
          <w:color w:val="3B3838" w:themeColor="background2" w:themeShade="40"/>
          <w:sz w:val="16"/>
        </w:rPr>
        <w:t>S</w:t>
      </w:r>
      <w:r>
        <w:rPr>
          <w:rFonts w:ascii="Open Sans" w:hAnsi="Open Sans" w:cs="Open Sans"/>
          <w:i/>
          <w:color w:val="3B3838" w:themeColor="background2" w:themeShade="40"/>
          <w:sz w:val="16"/>
        </w:rPr>
        <w:t>D</w:t>
      </w:r>
      <w:r>
        <w:rPr>
          <w:rFonts w:ascii="Open Sans" w:hAnsi="Open Sans" w:cs="Open Sans"/>
          <w:i/>
          <w:color w:val="3B3838" w:themeColor="background2" w:themeShade="40"/>
          <w:sz w:val="16"/>
        </w:rPr>
        <w:t>E</w:t>
      </w:r>
      <w:r>
        <w:rPr>
          <w:rFonts w:ascii="Open Sans" w:hAnsi="Open Sans" w:cs="Open Sans"/>
          <w:i/>
          <w:color w:val="3B3838" w:themeColor="background2" w:themeShade="40"/>
          <w:sz w:val="16"/>
        </w:rPr>
        <w:t xml:space="preserve">, </w:t>
      </w:r>
      <w:r w:rsidRPr="00E14636">
        <w:rPr>
          <w:rFonts w:ascii="Open Sans" w:hAnsi="Open Sans" w:cs="Open Sans"/>
          <w:i/>
          <w:color w:val="3B3838" w:themeColor="background2" w:themeShade="40"/>
          <w:sz w:val="16"/>
        </w:rPr>
        <w:t>Seguimiento al PAD, a 31 de diciembre de 2017</w:t>
      </w:r>
    </w:p>
    <w:p w:rsidR="0088322B" w:rsidRDefault="0088322B" w:rsidP="008832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O"/>
        </w:rPr>
      </w:pPr>
    </w:p>
    <w:p w:rsidR="00AE6260" w:rsidRPr="00E14636" w:rsidRDefault="00AE6260" w:rsidP="00AE6260">
      <w:pPr>
        <w:pStyle w:val="Prrafodelista"/>
        <w:numPr>
          <w:ilvl w:val="0"/>
          <w:numId w:val="4"/>
        </w:numPr>
        <w:ind w:left="284"/>
        <w:rPr>
          <w:rFonts w:ascii="Open Sans" w:hAnsi="Open Sans" w:cs="Open Sans"/>
        </w:rPr>
      </w:pPr>
      <w:r w:rsidRPr="00E14636">
        <w:rPr>
          <w:rFonts w:ascii="Open Sans" w:hAnsi="Open Sans" w:cs="Open Sans"/>
          <w:b/>
          <w:i/>
          <w:u w:val="single"/>
        </w:rPr>
        <w:t xml:space="preserve">Atendidas </w:t>
      </w:r>
      <w:r>
        <w:rPr>
          <w:rFonts w:ascii="Open Sans" w:hAnsi="Open Sans" w:cs="Open Sans"/>
          <w:b/>
          <w:i/>
          <w:u w:val="single"/>
        </w:rPr>
        <w:t>con ayuda humanitaria inmediata a cargo de la ACDVPR</w:t>
      </w:r>
      <w:r w:rsidRPr="00E14636">
        <w:rPr>
          <w:rFonts w:ascii="Open Sans" w:hAnsi="Open Sans" w:cs="Open Sans"/>
          <w:b/>
          <w:i/>
          <w:u w:val="single"/>
        </w:rPr>
        <w:t xml:space="preserve"> </w:t>
      </w:r>
    </w:p>
    <w:p w:rsidR="00C473AE" w:rsidRDefault="00043E7E" w:rsidP="004E7C9D">
      <w:pPr>
        <w:pStyle w:val="Prrafodelista"/>
        <w:numPr>
          <w:ilvl w:val="0"/>
          <w:numId w:val="8"/>
        </w:num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Un total de 783 niñas y adolescentes pertenecen a familias con medidas de Ayuda Humanitaria Inmediata otorgadas durante 2018 (enero a mayo). Ellas corresponden al 22,13% de las personas con medidas otorgadas en este período. </w:t>
      </w:r>
    </w:p>
    <w:p w:rsidR="00C473AE" w:rsidRPr="00C473AE" w:rsidRDefault="00C473AE" w:rsidP="004E7C9D">
      <w:pPr>
        <w:pStyle w:val="Prrafodelista"/>
        <w:numPr>
          <w:ilvl w:val="0"/>
          <w:numId w:val="8"/>
        </w:num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Esto indica que estas niñas hacen parte de núcleos familiares que han declarado como víctimas del conflicto armado durante 2018 y que presentan condiciones de vulnerabilidad acentuada, por lo que la Ayuda Huma</w:t>
      </w:r>
      <w:r w:rsidR="004E7C9D">
        <w:rPr>
          <w:rFonts w:ascii="Open Sans" w:hAnsi="Open Sans" w:cs="Open Sans"/>
        </w:rPr>
        <w:t xml:space="preserve">nitaria se otorga con el fin de garantizar el derecho a la subsistencia mínima. </w:t>
      </w:r>
    </w:p>
    <w:p w:rsidR="00043E7E" w:rsidRPr="0088322B" w:rsidRDefault="00043E7E" w:rsidP="00043E7E">
      <w:pPr>
        <w:jc w:val="center"/>
        <w:rPr>
          <w:rFonts w:ascii="Open Sans" w:hAnsi="Open Sans" w:cs="Open Sans"/>
          <w:b/>
          <w:sz w:val="18"/>
        </w:rPr>
      </w:pPr>
      <w:r>
        <w:rPr>
          <w:rFonts w:ascii="Open Sans" w:hAnsi="Open Sans" w:cs="Open Sans"/>
          <w:b/>
          <w:sz w:val="18"/>
        </w:rPr>
        <w:t xml:space="preserve">Tabla 5. Distribución por sexo de víctimas atendidas </w:t>
      </w:r>
      <w:r>
        <w:rPr>
          <w:rFonts w:ascii="Open Sans" w:hAnsi="Open Sans" w:cs="Open Sans"/>
          <w:b/>
          <w:sz w:val="18"/>
        </w:rPr>
        <w:t>con ayuda humanitaria inmediata de enero a mayo de 2018</w:t>
      </w:r>
    </w:p>
    <w:tbl>
      <w:tblPr>
        <w:tblW w:w="87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200"/>
        <w:gridCol w:w="1200"/>
        <w:gridCol w:w="1200"/>
        <w:gridCol w:w="1200"/>
        <w:gridCol w:w="1200"/>
      </w:tblGrid>
      <w:tr w:rsidR="00AE6260" w:rsidRPr="00AE6260" w:rsidTr="004E7C9D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AE6260" w:rsidRPr="00AE6260" w:rsidRDefault="00AE6260" w:rsidP="00AE6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 w:rsidRPr="00AE6260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Ciclo Vital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AE6260" w:rsidRPr="00AE6260" w:rsidRDefault="00AE6260" w:rsidP="00AE6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 w:rsidRPr="00AE6260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Mujer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AE6260" w:rsidRPr="00AE6260" w:rsidRDefault="00AE6260" w:rsidP="00AE6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 w:rsidRPr="00AE6260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Hombre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AE6260" w:rsidRPr="00AE6260" w:rsidRDefault="00AE6260" w:rsidP="00AE6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 w:rsidRPr="00AE6260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Intersexual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AE6260" w:rsidRPr="00AE6260" w:rsidRDefault="00AE6260" w:rsidP="00AE6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 w:rsidRPr="00AE6260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Sin </w:t>
            </w:r>
            <w:proofErr w:type="spellStart"/>
            <w:r w:rsidRPr="00AE6260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Info</w:t>
            </w:r>
            <w:proofErr w:type="spellEnd"/>
            <w:r w:rsidRPr="00AE6260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.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AE6260" w:rsidRPr="00AE6260" w:rsidRDefault="00AE6260" w:rsidP="00AE6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 w:rsidRPr="00AE6260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</w:t>
            </w:r>
          </w:p>
        </w:tc>
      </w:tr>
      <w:tr w:rsidR="00AE6260" w:rsidRPr="00AE6260" w:rsidTr="004E7C9D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AE6260" w:rsidRPr="00AE6260" w:rsidRDefault="00AE6260" w:rsidP="00AE62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E62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Primera Infancia (0 a 5 años)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AE6260" w:rsidRPr="00AE6260" w:rsidRDefault="00AE6260" w:rsidP="00AE62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E62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60" w:rsidRPr="00AE6260" w:rsidRDefault="00AE6260" w:rsidP="00AE62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E62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60" w:rsidRPr="00AE6260" w:rsidRDefault="00AE6260" w:rsidP="00AE62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E62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60" w:rsidRPr="00AE6260" w:rsidRDefault="00AE6260" w:rsidP="00AE62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E62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60" w:rsidRPr="00AE6260" w:rsidRDefault="00AE6260" w:rsidP="00AE62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E62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611</w:t>
            </w:r>
          </w:p>
        </w:tc>
      </w:tr>
      <w:tr w:rsidR="00AE6260" w:rsidRPr="00AE6260" w:rsidTr="004E7C9D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AE6260" w:rsidRPr="00AE6260" w:rsidRDefault="00AE6260" w:rsidP="00AE62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E62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Infancia(6 a 12 años)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AE6260" w:rsidRPr="00AE6260" w:rsidRDefault="00AE6260" w:rsidP="00AE62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E62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60" w:rsidRPr="00AE6260" w:rsidRDefault="00AE6260" w:rsidP="00AE62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E62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60" w:rsidRPr="00AE6260" w:rsidRDefault="00AE6260" w:rsidP="00AE62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E62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60" w:rsidRPr="00AE6260" w:rsidRDefault="00AE6260" w:rsidP="00AE62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E62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60" w:rsidRPr="00AE6260" w:rsidRDefault="00AE6260" w:rsidP="00AE62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E62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560</w:t>
            </w:r>
          </w:p>
        </w:tc>
      </w:tr>
      <w:tr w:rsidR="00AE6260" w:rsidRPr="00AE6260" w:rsidTr="004E7C9D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AE6260" w:rsidRPr="00AE6260" w:rsidRDefault="00AE6260" w:rsidP="00AE62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E62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Adolescencia (13 a 17 años)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AE6260" w:rsidRPr="00AE6260" w:rsidRDefault="00AE6260" w:rsidP="00AE62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E62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60" w:rsidRPr="00AE6260" w:rsidRDefault="00AE6260" w:rsidP="00AE62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E62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60" w:rsidRPr="00AE6260" w:rsidRDefault="00AE6260" w:rsidP="00AE62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E62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60" w:rsidRPr="00AE6260" w:rsidRDefault="00AE6260" w:rsidP="00AE62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E62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60" w:rsidRPr="00AE6260" w:rsidRDefault="00AE6260" w:rsidP="00AE62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E62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341</w:t>
            </w:r>
          </w:p>
        </w:tc>
      </w:tr>
      <w:tr w:rsidR="00AE6260" w:rsidRPr="00AE6260" w:rsidTr="00AE6260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6260" w:rsidRPr="00AE6260" w:rsidRDefault="00AE6260" w:rsidP="00AE62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E62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Juventud (18 a 28 años)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60" w:rsidRPr="00AE6260" w:rsidRDefault="00AE6260" w:rsidP="00AE62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E62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60" w:rsidRPr="00AE6260" w:rsidRDefault="00AE6260" w:rsidP="00AE62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E62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60" w:rsidRPr="00AE6260" w:rsidRDefault="00AE6260" w:rsidP="00AE62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E62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60" w:rsidRPr="00AE6260" w:rsidRDefault="00AE6260" w:rsidP="00AE62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E62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60" w:rsidRPr="00AE6260" w:rsidRDefault="00AE6260" w:rsidP="00AE62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E62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843</w:t>
            </w:r>
          </w:p>
        </w:tc>
      </w:tr>
      <w:tr w:rsidR="00AE6260" w:rsidRPr="00AE6260" w:rsidTr="00AE6260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AE6260" w:rsidRPr="00AE6260" w:rsidRDefault="00AE6260" w:rsidP="00AE62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E62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lastRenderedPageBreak/>
              <w:t>Adultez (29 a 59 años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60" w:rsidRPr="00AE6260" w:rsidRDefault="00AE6260" w:rsidP="00AE62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E62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60" w:rsidRPr="00AE6260" w:rsidRDefault="00AE6260" w:rsidP="00AE62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E62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479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60" w:rsidRPr="00AE6260" w:rsidRDefault="00AE6260" w:rsidP="00AE62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E62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60" w:rsidRPr="00AE6260" w:rsidRDefault="00AE6260" w:rsidP="00AE62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E62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60" w:rsidRPr="00AE6260" w:rsidRDefault="00AE6260" w:rsidP="00AE62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E62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1.058</w:t>
            </w:r>
          </w:p>
        </w:tc>
      </w:tr>
      <w:tr w:rsidR="00AE6260" w:rsidRPr="00AE6260" w:rsidTr="00AE6260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6260" w:rsidRPr="00AE6260" w:rsidRDefault="00AE6260" w:rsidP="00AE62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E62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Adulto mayor (60 o más años)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60" w:rsidRPr="00AE6260" w:rsidRDefault="00AE6260" w:rsidP="00AE62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E62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60" w:rsidRPr="00AE6260" w:rsidRDefault="00AE6260" w:rsidP="00AE62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E62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60" w:rsidRPr="00AE6260" w:rsidRDefault="00AE6260" w:rsidP="00AE62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E62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60" w:rsidRPr="00AE6260" w:rsidRDefault="00AE6260" w:rsidP="00AE62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E62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60" w:rsidRPr="00AE6260" w:rsidRDefault="00AE6260" w:rsidP="00AE62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E62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114</w:t>
            </w:r>
          </w:p>
        </w:tc>
      </w:tr>
      <w:tr w:rsidR="00AE6260" w:rsidRPr="00AE6260" w:rsidTr="00AE6260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FFFFFF"/>
            <w:noWrap/>
            <w:vAlign w:val="bottom"/>
            <w:hideMark/>
          </w:tcPr>
          <w:p w:rsidR="00AE6260" w:rsidRPr="00AE6260" w:rsidRDefault="00AE6260" w:rsidP="00AE62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E62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Sin </w:t>
            </w:r>
            <w:proofErr w:type="spellStart"/>
            <w:r w:rsidRPr="00AE62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info</w:t>
            </w:r>
            <w:proofErr w:type="spellEnd"/>
            <w:r w:rsidRPr="00AE62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60" w:rsidRPr="00AE6260" w:rsidRDefault="00AE6260" w:rsidP="00AE62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E62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60" w:rsidRPr="00AE6260" w:rsidRDefault="00AE6260" w:rsidP="00AE62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E62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60" w:rsidRPr="00AE6260" w:rsidRDefault="00AE6260" w:rsidP="00AE62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E62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60" w:rsidRPr="00AE6260" w:rsidRDefault="00AE6260" w:rsidP="00AE62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E62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60" w:rsidRPr="00AE6260" w:rsidRDefault="00AE6260" w:rsidP="00AE62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E62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11</w:t>
            </w:r>
          </w:p>
        </w:tc>
      </w:tr>
      <w:tr w:rsidR="00AE6260" w:rsidRPr="00AE6260" w:rsidTr="00AE6260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6260" w:rsidRPr="00AE6260" w:rsidRDefault="00AE6260" w:rsidP="00AE6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AE626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60" w:rsidRPr="00AE6260" w:rsidRDefault="00AE6260" w:rsidP="00AE62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E62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1.861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60" w:rsidRPr="00AE6260" w:rsidRDefault="00AE6260" w:rsidP="00AE62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E62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1.671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60" w:rsidRPr="00AE6260" w:rsidRDefault="00AE6260" w:rsidP="00AE62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E62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60" w:rsidRPr="00AE6260" w:rsidRDefault="00AE6260" w:rsidP="00AE62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E62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260" w:rsidRPr="00AE6260" w:rsidRDefault="00AE6260" w:rsidP="00AE62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AE626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3.538</w:t>
            </w:r>
          </w:p>
        </w:tc>
      </w:tr>
    </w:tbl>
    <w:p w:rsidR="00AE6260" w:rsidRDefault="00043E7E" w:rsidP="00043E7E">
      <w:pPr>
        <w:jc w:val="center"/>
        <w:rPr>
          <w:rFonts w:ascii="Open Sans" w:hAnsi="Open Sans" w:cs="Open Sans"/>
          <w:i/>
          <w:color w:val="3B3838" w:themeColor="background2" w:themeShade="40"/>
          <w:sz w:val="16"/>
        </w:rPr>
      </w:pPr>
      <w:r w:rsidRPr="00E14636">
        <w:rPr>
          <w:rFonts w:ascii="Open Sans" w:hAnsi="Open Sans" w:cs="Open Sans"/>
          <w:i/>
          <w:color w:val="3B3838" w:themeColor="background2" w:themeShade="40"/>
          <w:sz w:val="16"/>
        </w:rPr>
        <w:t>Fuente</w:t>
      </w:r>
      <w:r>
        <w:rPr>
          <w:rFonts w:ascii="Open Sans" w:hAnsi="Open Sans" w:cs="Open Sans"/>
          <w:i/>
          <w:color w:val="3B3838" w:themeColor="background2" w:themeShade="40"/>
          <w:sz w:val="16"/>
        </w:rPr>
        <w:t>: SIVIC, PMR a 1 de junio de 2018</w:t>
      </w:r>
    </w:p>
    <w:p w:rsidR="00C473AE" w:rsidRPr="00E14636" w:rsidRDefault="004E7C9D" w:rsidP="00C473AE">
      <w:pPr>
        <w:pStyle w:val="Prrafodelista"/>
        <w:numPr>
          <w:ilvl w:val="0"/>
          <w:numId w:val="4"/>
        </w:numPr>
        <w:ind w:left="284"/>
        <w:rPr>
          <w:rFonts w:ascii="Open Sans" w:hAnsi="Open Sans" w:cs="Open Sans"/>
        </w:rPr>
      </w:pPr>
      <w:r>
        <w:rPr>
          <w:rFonts w:ascii="Open Sans" w:hAnsi="Open Sans" w:cs="Open Sans"/>
          <w:b/>
          <w:i/>
          <w:u w:val="single"/>
        </w:rPr>
        <w:t>Embarazo adolescente</w:t>
      </w:r>
    </w:p>
    <w:p w:rsidR="00C473AE" w:rsidRDefault="00693961" w:rsidP="00011963">
      <w:pPr>
        <w:pStyle w:val="Prrafodelista"/>
        <w:numPr>
          <w:ilvl w:val="0"/>
          <w:numId w:val="9"/>
        </w:numPr>
        <w:jc w:val="both"/>
        <w:rPr>
          <w:rFonts w:ascii="Open Sans" w:hAnsi="Open Sans" w:cs="Open Sans"/>
        </w:rPr>
      </w:pPr>
      <w:r w:rsidRPr="00693961">
        <w:rPr>
          <w:rFonts w:ascii="Open Sans" w:hAnsi="Open Sans" w:cs="Open Sans"/>
        </w:rPr>
        <w:t xml:space="preserve">Un total de </w:t>
      </w:r>
      <w:r w:rsidRPr="00693961">
        <w:rPr>
          <w:rFonts w:ascii="Open Sans" w:hAnsi="Open Sans" w:cs="Open Sans"/>
        </w:rPr>
        <w:t>212</w:t>
      </w:r>
      <w:r w:rsidRPr="00693961">
        <w:rPr>
          <w:rFonts w:ascii="Open Sans" w:hAnsi="Open Sans" w:cs="Open Sans"/>
        </w:rPr>
        <w:t xml:space="preserve"> niñas y adolescentes </w:t>
      </w:r>
      <w:r>
        <w:rPr>
          <w:rFonts w:ascii="Open Sans" w:hAnsi="Open Sans" w:cs="Open Sans"/>
        </w:rPr>
        <w:t xml:space="preserve">se han registrado como gestantes </w:t>
      </w:r>
      <w:r w:rsidR="00EB7829">
        <w:rPr>
          <w:rFonts w:ascii="Open Sans" w:hAnsi="Open Sans" w:cs="Open Sans"/>
        </w:rPr>
        <w:t>al ser caracterizadas en SIVIC, de las cuales 10 se encontraban en la etapa de la infancia y 202 en la adolescencia, en el momento de la caracterización.</w:t>
      </w:r>
    </w:p>
    <w:p w:rsidR="00EB7829" w:rsidRPr="00693961" w:rsidRDefault="00EB7829" w:rsidP="00011963">
      <w:pPr>
        <w:pStyle w:val="Prrafodelista"/>
        <w:numPr>
          <w:ilvl w:val="0"/>
          <w:numId w:val="9"/>
        </w:num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Esto indica que el 14,19% de las mujeres gestantes que se han atendido en la red de </w:t>
      </w:r>
      <w:proofErr w:type="spellStart"/>
      <w:r>
        <w:rPr>
          <w:rFonts w:ascii="Open Sans" w:hAnsi="Open Sans" w:cs="Open Sans"/>
        </w:rPr>
        <w:t>Clavs</w:t>
      </w:r>
      <w:proofErr w:type="spellEnd"/>
      <w:r>
        <w:rPr>
          <w:rFonts w:ascii="Open Sans" w:hAnsi="Open Sans" w:cs="Open Sans"/>
        </w:rPr>
        <w:t xml:space="preserve"> son niñas y adolescentes. </w:t>
      </w:r>
      <w:bookmarkStart w:id="0" w:name="_GoBack"/>
      <w:bookmarkEnd w:id="0"/>
    </w:p>
    <w:p w:rsidR="00CA7375" w:rsidRPr="0088322B" w:rsidRDefault="00CA7375" w:rsidP="00CA7375">
      <w:pPr>
        <w:jc w:val="center"/>
        <w:rPr>
          <w:rFonts w:ascii="Open Sans" w:hAnsi="Open Sans" w:cs="Open Sans"/>
          <w:b/>
          <w:sz w:val="18"/>
        </w:rPr>
      </w:pPr>
      <w:r>
        <w:rPr>
          <w:rFonts w:ascii="Open Sans" w:hAnsi="Open Sans" w:cs="Open Sans"/>
          <w:b/>
          <w:sz w:val="18"/>
        </w:rPr>
        <w:t>Tabla 6</w:t>
      </w:r>
      <w:r>
        <w:rPr>
          <w:rFonts w:ascii="Open Sans" w:hAnsi="Open Sans" w:cs="Open Sans"/>
          <w:b/>
          <w:sz w:val="18"/>
        </w:rPr>
        <w:t xml:space="preserve">. </w:t>
      </w:r>
      <w:r w:rsidR="00693961">
        <w:rPr>
          <w:rFonts w:ascii="Open Sans" w:hAnsi="Open Sans" w:cs="Open Sans"/>
          <w:b/>
          <w:sz w:val="18"/>
        </w:rPr>
        <w:t>Mujeres gestantes caracterizadas en SIVIC (2010 a 1 de junio de 2018)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1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710"/>
      </w:tblGrid>
      <w:tr w:rsidR="00CA7375" w:rsidRPr="00CA7375" w:rsidTr="00CA7375">
        <w:trPr>
          <w:trHeight w:val="510"/>
        </w:trPr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Ciclo Vital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2010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2011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2012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2013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2014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2015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2016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2017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2018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Total general</w:t>
            </w:r>
          </w:p>
        </w:tc>
      </w:tr>
      <w:tr w:rsidR="00CA7375" w:rsidRPr="00CA7375" w:rsidTr="00CA7375">
        <w:trPr>
          <w:trHeight w:val="255"/>
        </w:trPr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CA7375" w:rsidRDefault="00CA7375" w:rsidP="00CA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A. </w:t>
            </w:r>
            <w:r w:rsidRPr="00CA7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Primera Infancia</w:t>
            </w:r>
          </w:p>
          <w:p w:rsidR="00CA7375" w:rsidRPr="00CA7375" w:rsidRDefault="00CA7375" w:rsidP="00CA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 (0 a 5 años)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</w:t>
            </w:r>
          </w:p>
        </w:tc>
      </w:tr>
      <w:tr w:rsidR="00CA7375" w:rsidRPr="00CA7375" w:rsidTr="00CA7375">
        <w:trPr>
          <w:trHeight w:val="255"/>
        </w:trPr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CA7375" w:rsidRDefault="00CA7375" w:rsidP="00CA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B. </w:t>
            </w:r>
            <w:r w:rsidRPr="00CA7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Infancia</w:t>
            </w:r>
          </w:p>
          <w:p w:rsidR="00CA7375" w:rsidRPr="00CA7375" w:rsidRDefault="00CA7375" w:rsidP="00CA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(6 a 12 años)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10</w:t>
            </w:r>
          </w:p>
        </w:tc>
      </w:tr>
      <w:tr w:rsidR="00CA7375" w:rsidRPr="00CA7375" w:rsidTr="00CA7375">
        <w:trPr>
          <w:trHeight w:val="255"/>
        </w:trPr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CA7375" w:rsidRDefault="00CA7375" w:rsidP="00CA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C. </w:t>
            </w:r>
            <w:r w:rsidRPr="00CA7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Adolescencia</w:t>
            </w:r>
          </w:p>
          <w:p w:rsidR="00CA7375" w:rsidRPr="00CA7375" w:rsidRDefault="00CA7375" w:rsidP="00CA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 (13 a 17 años)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47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59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202</w:t>
            </w:r>
          </w:p>
        </w:tc>
      </w:tr>
      <w:tr w:rsidR="00CA7375" w:rsidRPr="00CA7375" w:rsidTr="00CA7375">
        <w:trPr>
          <w:trHeight w:val="255"/>
        </w:trPr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375" w:rsidRDefault="00CA7375" w:rsidP="00CA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D. </w:t>
            </w:r>
            <w:r w:rsidRPr="00CA7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Juventud </w:t>
            </w:r>
          </w:p>
          <w:p w:rsidR="00CA7375" w:rsidRPr="00CA7375" w:rsidRDefault="00CA7375" w:rsidP="00CA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(18 a 28 años)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213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173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99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111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49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970</w:t>
            </w:r>
          </w:p>
        </w:tc>
      </w:tr>
      <w:tr w:rsidR="00CA7375" w:rsidRPr="00CA7375" w:rsidTr="00CA7375">
        <w:trPr>
          <w:trHeight w:val="255"/>
        </w:trPr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375" w:rsidRDefault="00CA7375" w:rsidP="00CA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E. </w:t>
            </w:r>
            <w:r w:rsidRPr="00CA7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Adultez</w:t>
            </w:r>
          </w:p>
          <w:p w:rsidR="00CA7375" w:rsidRPr="00CA7375" w:rsidRDefault="00CA7375" w:rsidP="00CA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 (29 a 59 años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59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97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52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296</w:t>
            </w:r>
          </w:p>
        </w:tc>
      </w:tr>
      <w:tr w:rsidR="00CA7375" w:rsidRPr="00CA7375" w:rsidTr="00CA7375">
        <w:trPr>
          <w:trHeight w:val="255"/>
        </w:trPr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375" w:rsidRDefault="00CA7375" w:rsidP="00CA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F. </w:t>
            </w:r>
            <w:r w:rsidRPr="00CA7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Adulto mayor </w:t>
            </w:r>
          </w:p>
          <w:p w:rsidR="00CA7375" w:rsidRPr="00CA7375" w:rsidRDefault="00CA7375" w:rsidP="00CA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(60 o más años)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</w:t>
            </w:r>
          </w:p>
        </w:tc>
      </w:tr>
      <w:tr w:rsidR="00CA7375" w:rsidRPr="00CA7375" w:rsidTr="00CA7375">
        <w:trPr>
          <w:trHeight w:val="255"/>
        </w:trPr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Sin </w:t>
            </w:r>
            <w:proofErr w:type="spellStart"/>
            <w:r w:rsidRPr="00CA7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info</w:t>
            </w:r>
            <w:proofErr w:type="spellEnd"/>
            <w:r w:rsidRPr="00CA737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.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13</w:t>
            </w:r>
          </w:p>
        </w:tc>
      </w:tr>
      <w:tr w:rsidR="00CA7375" w:rsidRPr="00CA7375" w:rsidTr="00CA7375">
        <w:trPr>
          <w:trHeight w:val="255"/>
        </w:trPr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Total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325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461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258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140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167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72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1.494</w:t>
            </w:r>
          </w:p>
        </w:tc>
      </w:tr>
      <w:tr w:rsidR="00CA7375" w:rsidRPr="00CA7375" w:rsidTr="00CA7375">
        <w:trPr>
          <w:trHeight w:val="25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693961" w:rsidRPr="00CA7375" w:rsidTr="00693961">
        <w:trPr>
          <w:trHeight w:val="255"/>
        </w:trPr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Niñas y adolescentes gestantes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(A,B y C)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47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61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212</w:t>
            </w:r>
          </w:p>
        </w:tc>
      </w:tr>
      <w:tr w:rsidR="00CA7375" w:rsidRPr="00CA7375" w:rsidTr="00CA7375">
        <w:trPr>
          <w:trHeight w:val="675"/>
        </w:trPr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Niñas y adolescentes gestantes como porcentaje de mujeres gestantes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por año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52,94%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51,52%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42,86%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14,46%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13,23%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11,24%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10,71%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10,18%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11,11%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375" w:rsidRPr="00CA7375" w:rsidRDefault="00CA7375" w:rsidP="00CA73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CA7375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14,19%</w:t>
            </w:r>
          </w:p>
        </w:tc>
      </w:tr>
    </w:tbl>
    <w:p w:rsidR="00CA7375" w:rsidRPr="00EB7829" w:rsidRDefault="00EB7829" w:rsidP="00C473AE">
      <w:pPr>
        <w:rPr>
          <w:rFonts w:ascii="Open Sans" w:hAnsi="Open Sans" w:cs="Open Sans"/>
          <w:i/>
          <w:color w:val="3B3838" w:themeColor="background2" w:themeShade="40"/>
          <w:sz w:val="16"/>
        </w:rPr>
      </w:pPr>
      <w:r w:rsidRPr="00EB7829">
        <w:rPr>
          <w:rFonts w:ascii="Open Sans" w:hAnsi="Open Sans" w:cs="Open Sans"/>
          <w:i/>
          <w:color w:val="3B3838" w:themeColor="background2" w:themeShade="40"/>
          <w:sz w:val="16"/>
        </w:rPr>
        <w:t xml:space="preserve">Fuente: ACDVPR - SIVIC, 1 septiembre 2010 – 1 de abril 2018. Nota: </w:t>
      </w:r>
      <w:r>
        <w:rPr>
          <w:rFonts w:ascii="Open Sans" w:hAnsi="Open Sans" w:cs="Open Sans"/>
          <w:i/>
          <w:color w:val="3B3838" w:themeColor="background2" w:themeShade="40"/>
          <w:sz w:val="16"/>
        </w:rPr>
        <w:t xml:space="preserve">La caracterización es un proceso que se efectúa a través de </w:t>
      </w:r>
      <w:r w:rsidRPr="00EB7829">
        <w:rPr>
          <w:rFonts w:ascii="Open Sans" w:hAnsi="Open Sans" w:cs="Open Sans"/>
          <w:i/>
          <w:color w:val="3B3838" w:themeColor="background2" w:themeShade="40"/>
          <w:sz w:val="16"/>
        </w:rPr>
        <w:t>los Centros Locales de Atención a Víctimas (</w:t>
      </w:r>
      <w:proofErr w:type="spellStart"/>
      <w:r w:rsidRPr="00EB7829">
        <w:rPr>
          <w:rFonts w:ascii="Open Sans" w:hAnsi="Open Sans" w:cs="Open Sans"/>
          <w:i/>
          <w:color w:val="3B3838" w:themeColor="background2" w:themeShade="40"/>
          <w:sz w:val="16"/>
        </w:rPr>
        <w:t>CLAVs</w:t>
      </w:r>
      <w:proofErr w:type="spellEnd"/>
      <w:r w:rsidRPr="00EB7829">
        <w:rPr>
          <w:rFonts w:ascii="Open Sans" w:hAnsi="Open Sans" w:cs="Open Sans"/>
          <w:i/>
          <w:color w:val="3B3838" w:themeColor="background2" w:themeShade="40"/>
          <w:sz w:val="16"/>
        </w:rPr>
        <w:t>) a</w:t>
      </w:r>
      <w:r>
        <w:rPr>
          <w:rFonts w:ascii="Open Sans" w:hAnsi="Open Sans" w:cs="Open Sans"/>
          <w:i/>
          <w:color w:val="3B3838" w:themeColor="background2" w:themeShade="40"/>
          <w:sz w:val="16"/>
        </w:rPr>
        <w:t xml:space="preserve"> quienes acuden allí a</w:t>
      </w:r>
      <w:r w:rsidRPr="00EB7829">
        <w:rPr>
          <w:rFonts w:ascii="Open Sans" w:hAnsi="Open Sans" w:cs="Open Sans"/>
          <w:i/>
          <w:color w:val="3B3838" w:themeColor="background2" w:themeShade="40"/>
          <w:sz w:val="16"/>
        </w:rPr>
        <w:t xml:space="preserve"> solicitar servicios </w:t>
      </w:r>
      <w:r>
        <w:rPr>
          <w:rFonts w:ascii="Open Sans" w:hAnsi="Open Sans" w:cs="Open Sans"/>
          <w:i/>
          <w:color w:val="3B3838" w:themeColor="background2" w:themeShade="40"/>
          <w:sz w:val="16"/>
        </w:rPr>
        <w:t xml:space="preserve">distritales. En este cuadro se incluyen la totalidad de las madres gestantes atendidas, en los </w:t>
      </w:r>
      <w:proofErr w:type="spellStart"/>
      <w:r>
        <w:rPr>
          <w:rFonts w:ascii="Open Sans" w:hAnsi="Open Sans" w:cs="Open Sans"/>
          <w:i/>
          <w:color w:val="3B3838" w:themeColor="background2" w:themeShade="40"/>
          <w:sz w:val="16"/>
        </w:rPr>
        <w:t>CLAVs</w:t>
      </w:r>
      <w:proofErr w:type="spellEnd"/>
      <w:r>
        <w:rPr>
          <w:rFonts w:ascii="Open Sans" w:hAnsi="Open Sans" w:cs="Open Sans"/>
          <w:i/>
          <w:color w:val="3B3838" w:themeColor="background2" w:themeShade="40"/>
          <w:sz w:val="16"/>
        </w:rPr>
        <w:t xml:space="preserve"> y no únicamente las caracterizadas en el RUV. </w:t>
      </w:r>
      <w:r w:rsidRPr="00EB7829">
        <w:rPr>
          <w:rFonts w:ascii="Open Sans" w:hAnsi="Open Sans" w:cs="Open Sans"/>
          <w:i/>
          <w:color w:val="3B3838" w:themeColor="background2" w:themeShade="40"/>
          <w:sz w:val="16"/>
        </w:rPr>
        <w:t xml:space="preserve">   </w:t>
      </w:r>
    </w:p>
    <w:sectPr w:rsidR="00CA7375" w:rsidRPr="00EB78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E7A" w:rsidRDefault="00722E7A" w:rsidP="00CF270B">
      <w:pPr>
        <w:spacing w:after="0" w:line="240" w:lineRule="auto"/>
      </w:pPr>
      <w:r>
        <w:separator/>
      </w:r>
    </w:p>
  </w:endnote>
  <w:endnote w:type="continuationSeparator" w:id="0">
    <w:p w:rsidR="00722E7A" w:rsidRDefault="00722E7A" w:rsidP="00CF2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E7A" w:rsidRDefault="00722E7A" w:rsidP="00CF270B">
      <w:pPr>
        <w:spacing w:after="0" w:line="240" w:lineRule="auto"/>
      </w:pPr>
      <w:r>
        <w:separator/>
      </w:r>
    </w:p>
  </w:footnote>
  <w:footnote w:type="continuationSeparator" w:id="0">
    <w:p w:rsidR="00722E7A" w:rsidRDefault="00722E7A" w:rsidP="00CF270B">
      <w:pPr>
        <w:spacing w:after="0" w:line="240" w:lineRule="auto"/>
      </w:pPr>
      <w:r>
        <w:continuationSeparator/>
      </w:r>
    </w:p>
  </w:footnote>
  <w:footnote w:id="1">
    <w:p w:rsidR="0007024B" w:rsidRPr="0092575E" w:rsidRDefault="0007024B" w:rsidP="0092575E">
      <w:pPr>
        <w:pStyle w:val="Textonotapie"/>
        <w:jc w:val="both"/>
        <w:rPr>
          <w:rFonts w:ascii="Open Sans" w:hAnsi="Open Sans" w:cs="Open Sans"/>
          <w:sz w:val="18"/>
          <w:szCs w:val="18"/>
        </w:rPr>
      </w:pPr>
      <w:r w:rsidRPr="0092575E">
        <w:rPr>
          <w:rStyle w:val="Refdenotaalpie"/>
          <w:rFonts w:ascii="Open Sans" w:hAnsi="Open Sans" w:cs="Open Sans"/>
          <w:sz w:val="18"/>
          <w:szCs w:val="18"/>
        </w:rPr>
        <w:footnoteRef/>
      </w:r>
      <w:r w:rsidRPr="0092575E">
        <w:rPr>
          <w:rFonts w:ascii="Open Sans" w:hAnsi="Open Sans" w:cs="Open Sans"/>
          <w:sz w:val="18"/>
          <w:szCs w:val="18"/>
        </w:rPr>
        <w:t xml:space="preserve"> A 1 de abril de 2018, según el RUV-RNI 351.336 víctimas residen en la ciudad, lo que corresponde al 4,1% de las 8.666.577 de víctimas del país.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5ADC"/>
    <w:multiLevelType w:val="hybridMultilevel"/>
    <w:tmpl w:val="8DFA12AC"/>
    <w:lvl w:ilvl="0" w:tplc="B85663D6">
      <w:start w:val="1"/>
      <w:numFmt w:val="upperLetter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C7B4416"/>
    <w:multiLevelType w:val="hybridMultilevel"/>
    <w:tmpl w:val="72BCF00E"/>
    <w:lvl w:ilvl="0" w:tplc="E1843E6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131FDB"/>
    <w:multiLevelType w:val="hybridMultilevel"/>
    <w:tmpl w:val="C018DE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9269F"/>
    <w:multiLevelType w:val="hybridMultilevel"/>
    <w:tmpl w:val="A43049EE"/>
    <w:lvl w:ilvl="0" w:tplc="2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23301AEF"/>
    <w:multiLevelType w:val="hybridMultilevel"/>
    <w:tmpl w:val="8DFA12AC"/>
    <w:lvl w:ilvl="0" w:tplc="B85663D6">
      <w:start w:val="1"/>
      <w:numFmt w:val="upperLetter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3CE47E1"/>
    <w:multiLevelType w:val="hybridMultilevel"/>
    <w:tmpl w:val="A5EC026E"/>
    <w:lvl w:ilvl="0" w:tplc="2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4E316A2B"/>
    <w:multiLevelType w:val="hybridMultilevel"/>
    <w:tmpl w:val="69DA6664"/>
    <w:lvl w:ilvl="0" w:tplc="077A4EF2">
      <w:start w:val="1"/>
      <w:numFmt w:val="bullet"/>
      <w:lvlText w:val="-"/>
      <w:lvlJc w:val="left"/>
      <w:pPr>
        <w:ind w:left="1222" w:hanging="360"/>
      </w:pPr>
      <w:rPr>
        <w:rFonts w:ascii="Franklin Gothic Book" w:eastAsiaTheme="minorHAnsi" w:hAnsi="Franklin Gothic Book" w:cs="Microsoft New Tai Lue" w:hint="default"/>
      </w:rPr>
    </w:lvl>
    <w:lvl w:ilvl="1" w:tplc="2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56497C4E"/>
    <w:multiLevelType w:val="hybridMultilevel"/>
    <w:tmpl w:val="03C2672A"/>
    <w:lvl w:ilvl="0" w:tplc="077A4EF2">
      <w:start w:val="1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="Microsoft New Tai Lue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04D84"/>
    <w:multiLevelType w:val="hybridMultilevel"/>
    <w:tmpl w:val="9F7CFF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49"/>
    <w:rsid w:val="00043E7E"/>
    <w:rsid w:val="0007024B"/>
    <w:rsid w:val="00071B1D"/>
    <w:rsid w:val="0007641F"/>
    <w:rsid w:val="00124B49"/>
    <w:rsid w:val="0019491A"/>
    <w:rsid w:val="001C4650"/>
    <w:rsid w:val="002767A4"/>
    <w:rsid w:val="0031729C"/>
    <w:rsid w:val="003312CA"/>
    <w:rsid w:val="003D4C86"/>
    <w:rsid w:val="00456560"/>
    <w:rsid w:val="004E7C9D"/>
    <w:rsid w:val="005A2D99"/>
    <w:rsid w:val="00605415"/>
    <w:rsid w:val="00675320"/>
    <w:rsid w:val="006808DE"/>
    <w:rsid w:val="00693961"/>
    <w:rsid w:val="00722E7A"/>
    <w:rsid w:val="0080706F"/>
    <w:rsid w:val="00811558"/>
    <w:rsid w:val="0088322B"/>
    <w:rsid w:val="009220C4"/>
    <w:rsid w:val="0092575E"/>
    <w:rsid w:val="009717C5"/>
    <w:rsid w:val="009F05BA"/>
    <w:rsid w:val="00AE6260"/>
    <w:rsid w:val="00AF5FD3"/>
    <w:rsid w:val="00B971E8"/>
    <w:rsid w:val="00BA7E78"/>
    <w:rsid w:val="00BB3C3E"/>
    <w:rsid w:val="00C32F02"/>
    <w:rsid w:val="00C473AE"/>
    <w:rsid w:val="00CA7375"/>
    <w:rsid w:val="00CF270B"/>
    <w:rsid w:val="00CF473E"/>
    <w:rsid w:val="00D25D5C"/>
    <w:rsid w:val="00D41A4D"/>
    <w:rsid w:val="00E14636"/>
    <w:rsid w:val="00EB7829"/>
    <w:rsid w:val="00EC2496"/>
    <w:rsid w:val="00FF218A"/>
    <w:rsid w:val="00FF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CC6DAD"/>
  <w15:chartTrackingRefBased/>
  <w15:docId w15:val="{05FAAF9D-3F00-48CA-AC07-48139CE6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641F"/>
    <w:pPr>
      <w:ind w:left="720"/>
      <w:contextualSpacing/>
    </w:pPr>
  </w:style>
  <w:style w:type="paragraph" w:customStyle="1" w:styleId="TtuloTabla">
    <w:name w:val="Título_Tabla"/>
    <w:basedOn w:val="Normal"/>
    <w:link w:val="TtuloTablaCar"/>
    <w:qFormat/>
    <w:rsid w:val="0080706F"/>
    <w:pPr>
      <w:jc w:val="center"/>
    </w:pPr>
    <w:rPr>
      <w:rFonts w:ascii="Roboto" w:hAnsi="Roboto"/>
      <w:b/>
      <w:sz w:val="20"/>
    </w:rPr>
  </w:style>
  <w:style w:type="character" w:customStyle="1" w:styleId="TtuloTablaCar">
    <w:name w:val="Título_Tabla Car"/>
    <w:basedOn w:val="Fuentedeprrafopredeter"/>
    <w:link w:val="TtuloTabla"/>
    <w:rsid w:val="0080706F"/>
    <w:rPr>
      <w:rFonts w:ascii="Roboto" w:hAnsi="Roboto"/>
      <w:b/>
      <w:sz w:val="20"/>
    </w:rPr>
  </w:style>
  <w:style w:type="table" w:styleId="Tablaconcuadrcula">
    <w:name w:val="Table Grid"/>
    <w:basedOn w:val="Tablanormal"/>
    <w:uiPriority w:val="39"/>
    <w:rsid w:val="00807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CF270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F270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F27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8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BD44B-A958-4A65-906C-FC047DD42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5</Pages>
  <Words>1672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Karen Andrea García Rojas</cp:lastModifiedBy>
  <cp:revision>13</cp:revision>
  <dcterms:created xsi:type="dcterms:W3CDTF">2018-06-07T22:14:00Z</dcterms:created>
  <dcterms:modified xsi:type="dcterms:W3CDTF">2018-06-12T22:06:00Z</dcterms:modified>
</cp:coreProperties>
</file>